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="-709" w:tblpY="483"/>
        <w:tblW w:w="14601" w:type="dxa"/>
        <w:tblLayout w:type="fixed"/>
        <w:tblLook w:val="0620" w:firstRow="1" w:lastRow="0" w:firstColumn="0" w:lastColumn="0" w:noHBand="1" w:noVBand="1"/>
      </w:tblPr>
      <w:tblGrid>
        <w:gridCol w:w="2835"/>
        <w:gridCol w:w="3686"/>
        <w:gridCol w:w="1417"/>
        <w:gridCol w:w="3544"/>
        <w:gridCol w:w="3119"/>
      </w:tblGrid>
      <w:tr w:rsidR="00176778" w:rsidRPr="00A13CF7" w14:paraId="62BB0EFD" w14:textId="77777777" w:rsidTr="00E33E79">
        <w:trPr>
          <w:cantSplit/>
          <w:tblHeader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561045" w14:textId="55B7534F" w:rsidR="007D0136" w:rsidRPr="00A13CF7" w:rsidRDefault="007D0136" w:rsidP="00E33E79">
            <w:pPr>
              <w:tabs>
                <w:tab w:val="left" w:pos="1080"/>
              </w:tabs>
              <w:spacing w:line="276" w:lineRule="auto"/>
              <w:rPr>
                <w:b/>
                <w:lang w:val="ro-RO"/>
              </w:rPr>
            </w:pPr>
            <w:bookmarkStart w:id="0" w:name="_GoBack"/>
            <w:bookmarkEnd w:id="0"/>
          </w:p>
        </w:tc>
      </w:tr>
      <w:tr w:rsidR="00E33E79" w:rsidRPr="00A13CF7" w14:paraId="45805B26" w14:textId="77777777" w:rsidTr="00E33E79">
        <w:trPr>
          <w:cantSplit/>
        </w:trPr>
        <w:tc>
          <w:tcPr>
            <w:tcW w:w="14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8CB84" w14:textId="77777777" w:rsidR="00E33E79" w:rsidRPr="00A13CF7" w:rsidRDefault="00E33E79" w:rsidP="00E33E79">
            <w:pPr>
              <w:jc w:val="center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t xml:space="preserve">Sinteza obiecțiilor și propunerilor/recomandărilor la proiectul Hotărârii Comitetului executiv al Băncii Naționale a Moldovei </w:t>
            </w:r>
          </w:p>
          <w:p w14:paraId="0D14763A" w14:textId="77777777" w:rsidR="00E33E79" w:rsidRPr="00A13CF7" w:rsidRDefault="00E33E79" w:rsidP="00E33E79">
            <w:pPr>
              <w:tabs>
                <w:tab w:val="left" w:pos="1080"/>
              </w:tabs>
              <w:spacing w:line="276" w:lineRule="auto"/>
              <w:ind w:firstLine="720"/>
              <w:jc w:val="center"/>
              <w:rPr>
                <w:b/>
                <w:bCs/>
                <w:lang w:val="ro-RO"/>
              </w:rPr>
            </w:pPr>
            <w:r w:rsidRPr="00A13CF7">
              <w:rPr>
                <w:b/>
                <w:lang w:val="ro-RO"/>
              </w:rPr>
              <w:t>„</w:t>
            </w:r>
            <w:bookmarkStart w:id="1" w:name="_Hlk136421102"/>
            <w:r w:rsidRPr="00A13CF7">
              <w:rPr>
                <w:b/>
                <w:lang w:val="ro-RO"/>
              </w:rPr>
              <w:t xml:space="preserve"> Pentru modificarea </w:t>
            </w:r>
            <w:bookmarkStart w:id="2" w:name="_Hlk127273599"/>
            <w:r w:rsidRPr="00A13CF7">
              <w:rPr>
                <w:b/>
                <w:lang w:val="ro-RO"/>
              </w:rPr>
              <w:t xml:space="preserve">Regulamentului cu privire la </w:t>
            </w:r>
            <w:bookmarkEnd w:id="2"/>
            <w:r w:rsidRPr="00A13CF7">
              <w:rPr>
                <w:b/>
                <w:bCs/>
                <w:lang w:val="ro-RO"/>
              </w:rPr>
              <w:t xml:space="preserve">sucursalele şi oficiile secundare ale băncilor, </w:t>
            </w:r>
            <w:bookmarkStart w:id="3" w:name="_Hlk135828074"/>
            <w:r w:rsidRPr="00A13CF7">
              <w:rPr>
                <w:b/>
                <w:bCs/>
                <w:lang w:val="ro-RO"/>
              </w:rPr>
              <w:t>aprobat prin Hotărârea Comitetului executiv al Băncii Naționale a Moldovei nr.147/2019</w:t>
            </w:r>
            <w:bookmarkEnd w:id="1"/>
            <w:bookmarkEnd w:id="3"/>
            <w:r w:rsidRPr="00A13CF7">
              <w:rPr>
                <w:b/>
                <w:lang w:val="ro-RO"/>
              </w:rPr>
              <w:t xml:space="preserve">” </w:t>
            </w:r>
            <w:r w:rsidRPr="00A13CF7">
              <w:rPr>
                <w:b/>
                <w:i/>
                <w:iCs/>
                <w:lang w:val="ro-RO"/>
              </w:rPr>
              <w:t>(în continuare – proiect)</w:t>
            </w:r>
          </w:p>
          <w:p w14:paraId="135F2E4F" w14:textId="77777777" w:rsidR="00E33E79" w:rsidRPr="00A13CF7" w:rsidRDefault="00E33E79" w:rsidP="00E33E79">
            <w:pPr>
              <w:jc w:val="center"/>
              <w:rPr>
                <w:b/>
                <w:lang w:val="ro-RO"/>
              </w:rPr>
            </w:pPr>
          </w:p>
        </w:tc>
      </w:tr>
      <w:tr w:rsidR="00E33E79" w:rsidRPr="00A13CF7" w14:paraId="5E3F6F06" w14:textId="77777777" w:rsidTr="00E33E79">
        <w:trPr>
          <w:cantSplit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C55472C" w14:textId="336564BB" w:rsidR="00E33E79" w:rsidRPr="00A13CF7" w:rsidRDefault="00E33E79" w:rsidP="00E33E79">
            <w:pPr>
              <w:jc w:val="center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t>Conținutul punctelor din proiect prezentat spre consultare publică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E985EB1" w14:textId="53D635DF" w:rsidR="00E33E79" w:rsidRPr="00A13CF7" w:rsidRDefault="00E33E79" w:rsidP="00E33E79">
            <w:pPr>
              <w:jc w:val="center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t>Participantul la avizare/consultare publică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67581F1" w14:textId="5BDD80FB" w:rsidR="00E33E79" w:rsidRPr="00A13CF7" w:rsidRDefault="00E33E79" w:rsidP="00E33E79">
            <w:pPr>
              <w:jc w:val="center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t>Nr. obiecției/ propunerii/ recomandării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BA9F646" w14:textId="77777777" w:rsidR="00E33E79" w:rsidRPr="00A13CF7" w:rsidRDefault="00E33E79" w:rsidP="00E33E79">
            <w:pPr>
              <w:jc w:val="center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t>Conținutul obiecției/propunerii/</w:t>
            </w:r>
          </w:p>
          <w:p w14:paraId="7506EBFD" w14:textId="2259B426" w:rsidR="00E33E79" w:rsidRPr="00A13CF7" w:rsidRDefault="00E33E79" w:rsidP="00E33E79">
            <w:pPr>
              <w:jc w:val="center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t>recomandării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5984944" w14:textId="6660CBAD" w:rsidR="00E33E79" w:rsidRPr="00A13CF7" w:rsidRDefault="00E33E79" w:rsidP="00E33E79">
            <w:pPr>
              <w:jc w:val="center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t>Argumentarea</w:t>
            </w:r>
          </w:p>
        </w:tc>
      </w:tr>
      <w:tr w:rsidR="00E33E79" w:rsidRPr="00A13CF7" w14:paraId="13F76630" w14:textId="77777777" w:rsidTr="00E40FEA">
        <w:trPr>
          <w:cantSplit/>
        </w:trPr>
        <w:tc>
          <w:tcPr>
            <w:tcW w:w="2835" w:type="dxa"/>
          </w:tcPr>
          <w:p w14:paraId="1B4AD853" w14:textId="77777777" w:rsidR="00E33E79" w:rsidRPr="00A13CF7" w:rsidRDefault="00E33E79" w:rsidP="00E33E79">
            <w:pPr>
              <w:jc w:val="center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t>1</w:t>
            </w:r>
          </w:p>
        </w:tc>
        <w:tc>
          <w:tcPr>
            <w:tcW w:w="3686" w:type="dxa"/>
          </w:tcPr>
          <w:p w14:paraId="2159AF56" w14:textId="77777777" w:rsidR="00E33E79" w:rsidRPr="00A13CF7" w:rsidRDefault="00E33E79" w:rsidP="00E33E79">
            <w:pPr>
              <w:jc w:val="center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t>2</w:t>
            </w:r>
          </w:p>
        </w:tc>
        <w:tc>
          <w:tcPr>
            <w:tcW w:w="1417" w:type="dxa"/>
          </w:tcPr>
          <w:p w14:paraId="08A83F27" w14:textId="77777777" w:rsidR="00E33E79" w:rsidRPr="00A13CF7" w:rsidRDefault="00E33E79" w:rsidP="00E33E79">
            <w:pPr>
              <w:jc w:val="center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t>3</w:t>
            </w:r>
          </w:p>
        </w:tc>
        <w:tc>
          <w:tcPr>
            <w:tcW w:w="3544" w:type="dxa"/>
          </w:tcPr>
          <w:p w14:paraId="398B6487" w14:textId="77777777" w:rsidR="00E33E79" w:rsidRPr="00A13CF7" w:rsidRDefault="00E33E79" w:rsidP="00E33E79">
            <w:pPr>
              <w:jc w:val="center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t>4</w:t>
            </w:r>
          </w:p>
        </w:tc>
        <w:tc>
          <w:tcPr>
            <w:tcW w:w="3119" w:type="dxa"/>
          </w:tcPr>
          <w:p w14:paraId="339C7313" w14:textId="77777777" w:rsidR="00E33E79" w:rsidRPr="00A13CF7" w:rsidRDefault="00E33E79" w:rsidP="00E33E79">
            <w:pPr>
              <w:jc w:val="center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t>5</w:t>
            </w:r>
          </w:p>
        </w:tc>
      </w:tr>
      <w:tr w:rsidR="00E33E79" w:rsidRPr="00A13CF7" w14:paraId="5D7C233A" w14:textId="77777777" w:rsidTr="00E40FEA">
        <w:trPr>
          <w:cantSplit/>
        </w:trPr>
        <w:tc>
          <w:tcPr>
            <w:tcW w:w="14601" w:type="dxa"/>
            <w:gridSpan w:val="5"/>
          </w:tcPr>
          <w:p w14:paraId="28CD18E7" w14:textId="77777777" w:rsidR="00E33E79" w:rsidRDefault="00E33E79" w:rsidP="00E33E79">
            <w:pPr>
              <w:pStyle w:val="ListParagraph"/>
              <w:ind w:left="1080"/>
              <w:jc w:val="center"/>
              <w:rPr>
                <w:b/>
                <w:i/>
                <w:lang w:val="ro-RO"/>
              </w:rPr>
            </w:pPr>
            <w:r w:rsidRPr="00A13CF7">
              <w:rPr>
                <w:b/>
                <w:i/>
                <w:lang w:val="ro-RO"/>
              </w:rPr>
              <w:t>I.I Obiecții și propuneri de ordin general</w:t>
            </w:r>
          </w:p>
          <w:p w14:paraId="43C0FB79" w14:textId="3189BCF0" w:rsidR="00E33E79" w:rsidRPr="00E33E79" w:rsidRDefault="00E33E79" w:rsidP="00E33E79">
            <w:pPr>
              <w:pStyle w:val="ListParagraph"/>
              <w:ind w:left="1080"/>
              <w:jc w:val="center"/>
              <w:rPr>
                <w:b/>
                <w:i/>
                <w:lang w:val="ro-RO"/>
              </w:rPr>
            </w:pPr>
          </w:p>
        </w:tc>
      </w:tr>
      <w:tr w:rsidR="00E33E79" w:rsidRPr="00A13CF7" w14:paraId="7A4BEE7B" w14:textId="77777777" w:rsidTr="00E40FEA">
        <w:trPr>
          <w:cantSplit/>
        </w:trPr>
        <w:tc>
          <w:tcPr>
            <w:tcW w:w="2835" w:type="dxa"/>
          </w:tcPr>
          <w:p w14:paraId="39FF5192" w14:textId="77777777" w:rsidR="00E33E79" w:rsidRPr="00A13CF7" w:rsidRDefault="00E33E79" w:rsidP="00E33E79">
            <w:pPr>
              <w:jc w:val="both"/>
              <w:rPr>
                <w:lang w:val="ro-RO"/>
              </w:rPr>
            </w:pPr>
          </w:p>
        </w:tc>
        <w:tc>
          <w:tcPr>
            <w:tcW w:w="3686" w:type="dxa"/>
          </w:tcPr>
          <w:p w14:paraId="12E926AF" w14:textId="1A0AAA9C" w:rsidR="00E33E79" w:rsidRPr="00A13CF7" w:rsidRDefault="00E33E79" w:rsidP="00E33E79">
            <w:pPr>
              <w:jc w:val="both"/>
              <w:rPr>
                <w:lang w:val="ro-RO"/>
              </w:rPr>
            </w:pPr>
            <w:r w:rsidRPr="00A13CF7">
              <w:rPr>
                <w:lang w:val="ro-RO"/>
              </w:rPr>
              <w:t>Ministerul Finanțelor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57DB67B" w14:textId="0BFD99EB" w:rsidR="00E33E79" w:rsidRPr="00A13CF7" w:rsidRDefault="00E33E79" w:rsidP="00E33E79">
            <w:pPr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E5B49" w14:textId="3BBC55A3" w:rsidR="00E33E79" w:rsidRPr="00A13CF7" w:rsidRDefault="00E33E79" w:rsidP="00E33E79">
            <w:pPr>
              <w:jc w:val="both"/>
              <w:rPr>
                <w:lang w:val="ro-RO"/>
              </w:rPr>
            </w:pPr>
            <w:r w:rsidRPr="00A13CF7">
              <w:rPr>
                <w:lang w:val="ro-RO"/>
              </w:rPr>
              <w:t xml:space="preserve">În contextul art.56 alin.(1) din Legea nr.100/2017 care precizează normele generale de intrare în vigoare a actelor normative (peste o lună de la data publicării în Monitorul Oficial al Republicii Moldova), propunem </w:t>
            </w:r>
            <w:r>
              <w:rPr>
                <w:lang w:val="ro-RO"/>
              </w:rPr>
              <w:t xml:space="preserve">excluderea </w:t>
            </w:r>
            <w:r w:rsidRPr="00A13CF7">
              <w:rPr>
                <w:lang w:val="ro-RO"/>
              </w:rPr>
              <w:t>punctul</w:t>
            </w:r>
            <w:r>
              <w:rPr>
                <w:lang w:val="ro-RO"/>
              </w:rPr>
              <w:t>ui</w:t>
            </w:r>
            <w:r w:rsidRPr="00A13CF7">
              <w:rPr>
                <w:lang w:val="ro-RO"/>
              </w:rPr>
              <w:t xml:space="preserve"> 2 din proiect.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A38C67C" w14:textId="432E25CE" w:rsidR="00E33E79" w:rsidRDefault="00E33E79" w:rsidP="00E33E79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Comentarii</w:t>
            </w:r>
          </w:p>
          <w:p w14:paraId="1190C7C1" w14:textId="4951DB5F" w:rsidR="00E33E79" w:rsidRPr="005A3562" w:rsidRDefault="00E33E79" w:rsidP="00E33E79">
            <w:pPr>
              <w:jc w:val="both"/>
              <w:rPr>
                <w:bCs/>
                <w:lang w:val="ro-MD"/>
              </w:rPr>
            </w:pPr>
            <w:r w:rsidRPr="005A3562">
              <w:rPr>
                <w:bCs/>
                <w:lang w:val="ro-RO"/>
              </w:rPr>
              <w:t xml:space="preserve">Prevederea este </w:t>
            </w:r>
            <w:r w:rsidRPr="005A3562">
              <w:rPr>
                <w:bCs/>
                <w:lang w:val="ro-MD"/>
              </w:rPr>
              <w:t>în corespundere cu art.11 alin.(2) din Legea nr.548/1995 cu privire la Banca Națională a Moldovei.</w:t>
            </w:r>
          </w:p>
        </w:tc>
      </w:tr>
      <w:tr w:rsidR="00E33E79" w:rsidRPr="00A13CF7" w14:paraId="5816E2E8" w14:textId="77777777" w:rsidTr="00E40FEA">
        <w:trPr>
          <w:cantSplit/>
        </w:trPr>
        <w:tc>
          <w:tcPr>
            <w:tcW w:w="2835" w:type="dxa"/>
          </w:tcPr>
          <w:p w14:paraId="4486B7C9" w14:textId="77777777" w:rsidR="00E33E79" w:rsidRPr="00A13CF7" w:rsidRDefault="00E33E79" w:rsidP="00E33E79">
            <w:pPr>
              <w:jc w:val="both"/>
              <w:rPr>
                <w:lang w:val="ro-RO"/>
              </w:rPr>
            </w:pPr>
          </w:p>
        </w:tc>
        <w:tc>
          <w:tcPr>
            <w:tcW w:w="3686" w:type="dxa"/>
          </w:tcPr>
          <w:p w14:paraId="7F456971" w14:textId="353A94CC" w:rsidR="00E33E79" w:rsidRPr="00A13CF7" w:rsidRDefault="00E33E79" w:rsidP="00E33E79">
            <w:pPr>
              <w:jc w:val="both"/>
              <w:rPr>
                <w:lang w:val="ro-RO"/>
              </w:rPr>
            </w:pPr>
            <w:r w:rsidRPr="00A13CF7">
              <w:rPr>
                <w:lang w:val="ro-RO"/>
              </w:rPr>
              <w:t>Ministerul Finanțelor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4EB0292" w14:textId="1B06950E" w:rsidR="00E33E79" w:rsidRPr="00A13CF7" w:rsidRDefault="00E33E79" w:rsidP="00E33E79">
            <w:pPr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E71E1" w14:textId="6A8BC0BD" w:rsidR="00E33E79" w:rsidRPr="00A13CF7" w:rsidRDefault="00E33E79" w:rsidP="00E33E79">
            <w:pPr>
              <w:jc w:val="both"/>
              <w:rPr>
                <w:lang w:val="ro-RO"/>
              </w:rPr>
            </w:pPr>
            <w:r w:rsidRPr="00A13CF7">
              <w:rPr>
                <w:lang w:val="ro-RO"/>
              </w:rPr>
              <w:t>La pct.27 subpct.3) din Regulamentul nr.147/2017 cuvintele „privind activitatea băncilor” de exclus</w:t>
            </w:r>
            <w:r>
              <w:rPr>
                <w:lang w:val="ro-RO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8F3B296" w14:textId="07C61E33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t>Se acceptă</w:t>
            </w:r>
          </w:p>
        </w:tc>
      </w:tr>
      <w:tr w:rsidR="00E33E79" w:rsidRPr="00A13CF7" w14:paraId="3A9DF259" w14:textId="77777777" w:rsidTr="00E40FEA">
        <w:trPr>
          <w:cantSplit/>
        </w:trPr>
        <w:tc>
          <w:tcPr>
            <w:tcW w:w="2835" w:type="dxa"/>
          </w:tcPr>
          <w:p w14:paraId="40461A53" w14:textId="77777777" w:rsidR="00E33E79" w:rsidRPr="00A13CF7" w:rsidRDefault="00E33E79" w:rsidP="00E33E79">
            <w:pPr>
              <w:jc w:val="both"/>
              <w:rPr>
                <w:lang w:val="ro-RO"/>
              </w:rPr>
            </w:pPr>
          </w:p>
        </w:tc>
        <w:tc>
          <w:tcPr>
            <w:tcW w:w="3686" w:type="dxa"/>
          </w:tcPr>
          <w:p w14:paraId="5C6CB0AD" w14:textId="6D9DA3EC" w:rsidR="00E33E79" w:rsidRPr="00A13CF7" w:rsidRDefault="00E33E79" w:rsidP="00E33E79">
            <w:pPr>
              <w:jc w:val="both"/>
              <w:rPr>
                <w:lang w:val="ro-RO"/>
              </w:rPr>
            </w:pPr>
            <w:r w:rsidRPr="00A13CF7">
              <w:rPr>
                <w:lang w:val="ro-RO"/>
              </w:rPr>
              <w:t>BC „Energbank” SA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0C2C479" w14:textId="6690F4E7" w:rsidR="00E33E79" w:rsidRPr="00A13CF7" w:rsidRDefault="00E33E79" w:rsidP="00E33E79">
            <w:pPr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837D0" w14:textId="64D5ED25" w:rsidR="00E33E79" w:rsidRPr="00A13CF7" w:rsidRDefault="00E33E79" w:rsidP="00E33E79">
            <w:pPr>
              <w:jc w:val="both"/>
              <w:rPr>
                <w:lang w:val="ro-RO"/>
              </w:rPr>
            </w:pPr>
            <w:r w:rsidRPr="00A13CF7">
              <w:rPr>
                <w:lang w:val="ro-RO"/>
              </w:rPr>
              <w:t>Prорu</w:t>
            </w:r>
            <w:r>
              <w:rPr>
                <w:lang w:val="ro-RO"/>
              </w:rPr>
              <w:t>n</w:t>
            </w:r>
            <w:r w:rsidRPr="00A13CF7">
              <w:rPr>
                <w:lang w:val="ro-RO"/>
              </w:rPr>
              <w:t>еm rеglеmе</w:t>
            </w:r>
            <w:r>
              <w:rPr>
                <w:lang w:val="ro-RO"/>
              </w:rPr>
              <w:t>n</w:t>
            </w:r>
            <w:r w:rsidRPr="00A13CF7">
              <w:rPr>
                <w:lang w:val="ro-RO"/>
              </w:rPr>
              <w:t>tаrеа procesului аfеrепt suspendării activității sucursalelor/oficiilor sесundare</w:t>
            </w:r>
            <w:r>
              <w:rPr>
                <w:lang w:val="ro-RO"/>
              </w:rPr>
              <w:t>,</w:t>
            </w:r>
            <w:r w:rsidRPr="00A13CF7">
              <w:rPr>
                <w:lang w:val="ro-RO"/>
              </w:rPr>
              <w:t xml:space="preserve"> în special аfеrепt tеrmеnelоr și mecanismului de notificare а regulatorului despre acest fapt.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8CBAF4F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t>Comentarii</w:t>
            </w:r>
          </w:p>
          <w:p w14:paraId="743D51AC" w14:textId="176914A0" w:rsidR="00E33E79" w:rsidRPr="00A13CF7" w:rsidRDefault="00E33E79" w:rsidP="00E33E79">
            <w:p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E</w:t>
            </w:r>
            <w:r w:rsidRPr="00A13CF7">
              <w:rPr>
                <w:bCs/>
                <w:lang w:val="ro-RO"/>
              </w:rPr>
              <w:t>miter</w:t>
            </w:r>
            <w:r>
              <w:rPr>
                <w:bCs/>
                <w:lang w:val="ro-RO"/>
              </w:rPr>
              <w:t>ea</w:t>
            </w:r>
            <w:r w:rsidRPr="00A13CF7">
              <w:rPr>
                <w:bCs/>
                <w:lang w:val="ro-RO"/>
              </w:rPr>
              <w:t xml:space="preserve"> regulamentului are drept temei art.32 și 33 din Legea nr.202/2017 privind activitatea băncilor ce ține de deschiderea/închiderea de sucursale/oficii secundare/sucursale pe teritoriul altor state.</w:t>
            </w:r>
          </w:p>
          <w:p w14:paraId="7F8208F1" w14:textId="73B7AD63" w:rsidR="00E33E79" w:rsidRPr="00A13CF7" w:rsidRDefault="00E33E79" w:rsidP="00E33E79">
            <w:pPr>
              <w:jc w:val="both"/>
              <w:rPr>
                <w:bCs/>
                <w:lang w:val="ro-RO"/>
              </w:rPr>
            </w:pPr>
            <w:r w:rsidRPr="00A13CF7">
              <w:rPr>
                <w:bCs/>
                <w:lang w:val="ro-RO"/>
              </w:rPr>
              <w:lastRenderedPageBreak/>
              <w:t>Procesul аfеrепt suspendării activității sucursalelor/oficiilor sесundare nu face parte din mecanismul expus în reglementare.</w:t>
            </w:r>
          </w:p>
        </w:tc>
      </w:tr>
      <w:tr w:rsidR="00E33E79" w:rsidRPr="00A13CF7" w14:paraId="560795DC" w14:textId="77777777" w:rsidTr="00E40FEA">
        <w:trPr>
          <w:cantSplit/>
        </w:trPr>
        <w:tc>
          <w:tcPr>
            <w:tcW w:w="14601" w:type="dxa"/>
            <w:gridSpan w:val="5"/>
          </w:tcPr>
          <w:p w14:paraId="0F8D5796" w14:textId="77777777" w:rsidR="00E33E79" w:rsidRDefault="00E33E79" w:rsidP="00E33E79">
            <w:pPr>
              <w:jc w:val="center"/>
              <w:rPr>
                <w:b/>
                <w:i/>
                <w:lang w:val="ro-RO"/>
              </w:rPr>
            </w:pPr>
            <w:r w:rsidRPr="00A13CF7">
              <w:rPr>
                <w:b/>
                <w:i/>
                <w:lang w:val="ro-RO"/>
              </w:rPr>
              <w:lastRenderedPageBreak/>
              <w:t>I.II Obiecții și propuneri la punctele din proiect</w:t>
            </w:r>
          </w:p>
          <w:p w14:paraId="19BBD5D9" w14:textId="77777777" w:rsidR="00E33E79" w:rsidRPr="00A13CF7" w:rsidRDefault="00E33E79" w:rsidP="00E33E79">
            <w:pPr>
              <w:jc w:val="center"/>
              <w:rPr>
                <w:b/>
                <w:i/>
                <w:lang w:val="ro-RO"/>
              </w:rPr>
            </w:pPr>
          </w:p>
        </w:tc>
      </w:tr>
      <w:tr w:rsidR="00E33E79" w:rsidRPr="00A13CF7" w14:paraId="35F090E1" w14:textId="77777777" w:rsidTr="00E40FEA">
        <w:trPr>
          <w:cantSplit/>
        </w:trPr>
        <w:tc>
          <w:tcPr>
            <w:tcW w:w="2835" w:type="dxa"/>
          </w:tcPr>
          <w:p w14:paraId="4C9A291C" w14:textId="77777777" w:rsidR="00E33E79" w:rsidRPr="00A13CF7" w:rsidRDefault="00E33E79" w:rsidP="00E33E79">
            <w:pPr>
              <w:pStyle w:val="cp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lang w:val="ro-RO"/>
              </w:rPr>
            </w:pPr>
            <w:r w:rsidRPr="00A13CF7">
              <w:rPr>
                <w:b/>
                <w:lang w:val="ro-RO"/>
              </w:rPr>
              <w:t xml:space="preserve">Pct.1 subpct.2) din proiect, </w:t>
            </w:r>
            <w:r w:rsidRPr="00A13CF7">
              <w:rPr>
                <w:bCs/>
                <w:lang w:val="ro-RO"/>
              </w:rPr>
              <w:t>la pct.8 din regulamentul nr.147/2019</w:t>
            </w:r>
            <w:r w:rsidRPr="00A13CF7">
              <w:rPr>
                <w:b/>
                <w:lang w:val="ro-RO"/>
              </w:rPr>
              <w:t xml:space="preserve"> </w:t>
            </w:r>
            <w:r w:rsidRPr="00A13CF7">
              <w:rPr>
                <w:bCs/>
                <w:lang w:val="ro-RO"/>
              </w:rPr>
              <w:t>a)</w:t>
            </w:r>
            <w:r w:rsidRPr="00A13CF7">
              <w:rPr>
                <w:b/>
                <w:lang w:val="ro-RO"/>
              </w:rPr>
              <w:t xml:space="preserve"> </w:t>
            </w:r>
            <w:r w:rsidRPr="00A13CF7">
              <w:rPr>
                <w:bCs/>
                <w:lang w:val="ro-RO"/>
              </w:rPr>
              <w:t>cuvintele „pe suport hârtie” se substituie cu cuvintele „în format electronic”;</w:t>
            </w:r>
          </w:p>
          <w:p w14:paraId="5E85FFEF" w14:textId="77777777" w:rsidR="00E33E79" w:rsidRPr="00A13CF7" w:rsidRDefault="00E33E79" w:rsidP="00E33E79">
            <w:pPr>
              <w:pStyle w:val="cp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lang w:val="ro-RO"/>
              </w:rPr>
            </w:pPr>
            <w:r w:rsidRPr="00A13CF7">
              <w:rPr>
                <w:bCs/>
                <w:lang w:val="ro-RO"/>
              </w:rPr>
              <w:t>b) se completează cu textul „în modul prevăzut la punctul 16.</w:t>
            </w:r>
          </w:p>
          <w:p w14:paraId="46068432" w14:textId="23259635" w:rsidR="00E33E79" w:rsidRPr="00A13CF7" w:rsidRDefault="00E33E79" w:rsidP="00E33E79">
            <w:pPr>
              <w:pStyle w:val="cp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lang w:val="ro-RO"/>
              </w:rPr>
            </w:pPr>
            <w:r w:rsidRPr="00A13CF7">
              <w:rPr>
                <w:bCs/>
                <w:lang w:val="ro-RO"/>
              </w:rPr>
              <w:t xml:space="preserve">    </w:t>
            </w:r>
            <w:r w:rsidRPr="000F221F">
              <w:rPr>
                <w:bCs/>
                <w:lang w:val="ro-RO"/>
              </w:rPr>
              <w:t>În cazul în care, după data de raportare, informațiile menționate în prezentul punct au suferit modificări, banca prezintă informația actualizată, în format electronic, pe parcursul a 10 zile lucrătoare din data survenirii modificărilor în modul prevăzut la punctul 16”</w:t>
            </w:r>
            <w:r w:rsidRPr="00A13CF7">
              <w:rPr>
                <w:bCs/>
                <w:lang w:val="ro-RO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30A5898" w14:textId="41695EA3" w:rsidR="00E33E79" w:rsidRPr="00A13CF7" w:rsidRDefault="00E33E79" w:rsidP="00E33E79">
            <w:pPr>
              <w:jc w:val="both"/>
              <w:rPr>
                <w:bCs/>
                <w:iCs/>
                <w:lang w:val="ro-RO"/>
              </w:rPr>
            </w:pPr>
            <w:r w:rsidRPr="00A13CF7">
              <w:rPr>
                <w:lang w:val="ro-RO"/>
              </w:rPr>
              <w:t>BC „Energbank” SA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EF57E4F" w14:textId="6210324F" w:rsidR="00E33E79" w:rsidRPr="00A13CF7" w:rsidRDefault="00E33E79" w:rsidP="00E33E79">
            <w:pPr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180458C" w14:textId="46B17F30" w:rsidR="00E33E79" w:rsidRPr="00A13CF7" w:rsidRDefault="00E33E79" w:rsidP="00E33E79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13CF7">
              <w:rPr>
                <w:lang w:val="ro-RO"/>
              </w:rPr>
              <w:t>Cоnsidеrăm nесеsаr соmрlеtarеа modulului dedicat sucursalelor și оfiсiilоr sесundаrе cu un compartiment destinat form</w:t>
            </w:r>
            <w:r>
              <w:rPr>
                <w:lang w:val="ro-RO"/>
              </w:rPr>
              <w:t>ularului</w:t>
            </w:r>
            <w:r w:rsidRPr="00A13CF7">
              <w:rPr>
                <w:lang w:val="ro-RO"/>
              </w:rPr>
              <w:t xml:space="preserve"> no</w:t>
            </w:r>
            <w:r>
              <w:rPr>
                <w:lang w:val="ro-RO"/>
              </w:rPr>
              <w:t>u</w:t>
            </w:r>
            <w:r w:rsidRPr="00A13CF7">
              <w:rPr>
                <w:lang w:val="ro-RO"/>
              </w:rPr>
              <w:t xml:space="preserve"> de rароrtаrе, fоrmаt еlесtrо</w:t>
            </w:r>
            <w:r>
              <w:rPr>
                <w:lang w:val="ro-RO"/>
              </w:rPr>
              <w:t>n</w:t>
            </w:r>
            <w:r w:rsidRPr="00A13CF7">
              <w:rPr>
                <w:lang w:val="ro-RO"/>
              </w:rPr>
              <w:t>iс, prin intermediul portalului WEB al Sistemului informatic al BNM, оr structura actuală а acestuia</w:t>
            </w:r>
          </w:p>
          <w:p w14:paraId="6AFB744A" w14:textId="72F6A35D" w:rsidR="00E33E79" w:rsidRPr="00A13CF7" w:rsidRDefault="00E33E79" w:rsidP="00E33E79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13CF7">
              <w:rPr>
                <w:lang w:val="ro-RO"/>
              </w:rPr>
              <w:t>nu реrmitе rеаlizarea/ехесutаrеа tehnică а mоdifiсărilоr propuse la pct.8 din Regulamentul nr.147/20l9.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2727302" w14:textId="226938B2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Comentarii</w:t>
            </w:r>
          </w:p>
          <w:p w14:paraId="2649863F" w14:textId="39B0B97D" w:rsidR="00E33E79" w:rsidRDefault="00E33E79" w:rsidP="00E33E79">
            <w:pPr>
              <w:jc w:val="both"/>
              <w:rPr>
                <w:bCs/>
                <w:lang w:val="ro-RO"/>
              </w:rPr>
            </w:pPr>
            <w:r w:rsidRPr="00A13CF7">
              <w:rPr>
                <w:bCs/>
                <w:lang w:val="ro-RO"/>
              </w:rPr>
              <w:t>Modificările operate la pct.8 din regulament</w:t>
            </w:r>
            <w:r>
              <w:rPr>
                <w:bCs/>
                <w:lang w:val="ro-RO"/>
              </w:rPr>
              <w:t>,</w:t>
            </w:r>
            <w:r w:rsidRPr="00A13CF7">
              <w:rPr>
                <w:bCs/>
                <w:lang w:val="ro-RO"/>
              </w:rPr>
              <w:t xml:space="preserve"> în contextul modalității de prezentare a informației în format electronic</w:t>
            </w:r>
            <w:r>
              <w:rPr>
                <w:bCs/>
                <w:lang w:val="ro-RO"/>
              </w:rPr>
              <w:t>,</w:t>
            </w:r>
            <w:r w:rsidRPr="00A13CF7">
              <w:rPr>
                <w:bCs/>
                <w:lang w:val="ro-RO"/>
              </w:rPr>
              <w:t xml:space="preserve"> înclud trimiteri la punctul 16 din regulament care prevede că informația se va efectua</w:t>
            </w:r>
            <w:r w:rsidRPr="00A13CF7">
              <w:rPr>
                <w:lang w:val="ro-RO"/>
              </w:rPr>
              <w:t xml:space="preserve"> </w:t>
            </w:r>
            <w:r w:rsidRPr="00A13CF7">
              <w:rPr>
                <w:bCs/>
                <w:lang w:val="ro-RO"/>
              </w:rPr>
              <w:t>prin intermediul portalului WEB al Sistemului informatic al Băncii Naţionale a Moldovei cu privire la licenţiere, autorizare şi notificare, conform Ghidului privind utilizarea portalului WEB al Sistemului informatic al Băncii Naţionale a Moldovei cu privire la licenţiere, autorizare şi notificare, în vederea notificării deschiderii/închiderii sucursalelor/oficiilor secundare ale băncilor.</w:t>
            </w:r>
          </w:p>
          <w:p w14:paraId="6B2DA85E" w14:textId="77777777" w:rsidR="00E33E79" w:rsidRDefault="00E33E79" w:rsidP="00E33E79">
            <w:p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Sistemul informatic respectiv va fi ajustat potrivit rigorilor expuse în proiect.</w:t>
            </w:r>
          </w:p>
          <w:p w14:paraId="4BA938B0" w14:textId="3DA08787" w:rsidR="00E33E79" w:rsidRPr="00F637D4" w:rsidRDefault="00E33E79" w:rsidP="00E33E79">
            <w:pPr>
              <w:jc w:val="both"/>
              <w:rPr>
                <w:bCs/>
                <w:lang w:val="ro-MD"/>
              </w:rPr>
            </w:pPr>
          </w:p>
        </w:tc>
      </w:tr>
      <w:tr w:rsidR="00E33E79" w:rsidRPr="00A13CF7" w14:paraId="39871F8D" w14:textId="77777777" w:rsidTr="00E40FEA">
        <w:trPr>
          <w:cantSplit/>
        </w:trPr>
        <w:tc>
          <w:tcPr>
            <w:tcW w:w="2835" w:type="dxa"/>
          </w:tcPr>
          <w:p w14:paraId="7F1C9D25" w14:textId="77777777" w:rsidR="00E33E79" w:rsidRPr="00A13CF7" w:rsidRDefault="00E33E79" w:rsidP="00E33E79">
            <w:pPr>
              <w:pStyle w:val="cp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lastRenderedPageBreak/>
              <w:t>Pct.1 subpct.3) din proiect:</w:t>
            </w:r>
          </w:p>
          <w:p w14:paraId="115CAF0C" w14:textId="4A81826E" w:rsidR="00E33E79" w:rsidRPr="00A13CF7" w:rsidRDefault="00E33E79" w:rsidP="00E33E79">
            <w:pPr>
              <w:pStyle w:val="cp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val="ro-RO"/>
              </w:rPr>
            </w:pPr>
            <w:r w:rsidRPr="00A13CF7">
              <w:rPr>
                <w:b/>
                <w:lang w:val="ro-RO"/>
              </w:rPr>
              <w:t>„</w:t>
            </w:r>
            <w:r w:rsidRPr="00A13CF7">
              <w:rPr>
                <w:lang w:val="ro-RO"/>
              </w:rPr>
              <w:t>la punctul 10:</w:t>
            </w:r>
          </w:p>
          <w:p w14:paraId="2887DBC7" w14:textId="7F0728B2" w:rsidR="00E33E79" w:rsidRPr="00A13CF7" w:rsidRDefault="00E33E79" w:rsidP="00E33E79">
            <w:pPr>
              <w:pStyle w:val="cp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ind w:left="0" w:hanging="37"/>
              <w:jc w:val="both"/>
              <w:rPr>
                <w:lang w:val="ro-RO"/>
              </w:rPr>
            </w:pPr>
            <w:r w:rsidRPr="00A13CF7">
              <w:rPr>
                <w:lang w:val="ro-RO"/>
              </w:rPr>
              <w:t>după cuvântul „secundar” se completează cu cuvintele „pe teritoriul Republicii Moldova”;</w:t>
            </w:r>
          </w:p>
          <w:p w14:paraId="349160F1" w14:textId="49E31ACC" w:rsidR="00E33E79" w:rsidRPr="00A13CF7" w:rsidRDefault="00E33E79" w:rsidP="00E33E79">
            <w:pPr>
              <w:pStyle w:val="cp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ind w:left="0" w:hanging="37"/>
              <w:jc w:val="both"/>
              <w:rPr>
                <w:lang w:val="ro-RO"/>
              </w:rPr>
            </w:pPr>
            <w:r w:rsidRPr="00A13CF7">
              <w:rPr>
                <w:lang w:val="ro-RO"/>
              </w:rPr>
              <w:t>cuvintele „reglementările cu privire la licențierea băncilor” se substituie cu textul „Regulamentul privind licențierea băncii și sucursalei băncii din alt stat nr.328 din 13.12.2019.</w:t>
            </w:r>
          </w:p>
          <w:p w14:paraId="45E28AD4" w14:textId="2D533023" w:rsidR="00E33E79" w:rsidRPr="00A13CF7" w:rsidRDefault="00E33E79" w:rsidP="00E33E79">
            <w:pPr>
              <w:pStyle w:val="cp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val="ro-RO"/>
              </w:rPr>
            </w:pPr>
            <w:r w:rsidRPr="00A13CF7">
              <w:rPr>
                <w:lang w:val="ro-RO"/>
              </w:rPr>
              <w:tab/>
              <w:t>Oficiul secundar deschis în Republica Moldova îşi poate începe activitatea după înregistrarea la organul înregistrării de stat a regulamentului sucursalei sau a modificărilor la regulamentul sucursalei (sau redacția nouă a acestuia) aferente deschiderii oficiului secundar respectiv;”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EF4C1AE" w14:textId="3747A5E2" w:rsidR="00E33E79" w:rsidRPr="00A13CF7" w:rsidRDefault="00E33E79" w:rsidP="00E33E79">
            <w:pPr>
              <w:jc w:val="both"/>
              <w:rPr>
                <w:bCs/>
                <w:iCs/>
                <w:lang w:val="ro-RO"/>
              </w:rPr>
            </w:pPr>
            <w:r w:rsidRPr="00A13CF7">
              <w:rPr>
                <w:lang w:val="ro-RO"/>
              </w:rPr>
              <w:t>Ministerul Justiției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EB701CF" w14:textId="2266EC39" w:rsidR="00E33E79" w:rsidRPr="00A13CF7" w:rsidRDefault="00E33E79" w:rsidP="00E33E79">
            <w:pPr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6E1C144" w14:textId="4BC8CC6C" w:rsidR="00E33E79" w:rsidRPr="00A13CF7" w:rsidRDefault="00E33E79" w:rsidP="00E33E79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13CF7">
              <w:rPr>
                <w:lang w:val="ro-RO"/>
              </w:rPr>
              <w:t>Recomandăm substituirea integrală a elementelor structurale ale acestuia și nu introducerea și excluderea de enunțuri, sintagme sau cuvinte. Astfel, având în vedere că la pct. 10 s-a operat modificări substanțiale, acesta urmează a fi expus în redacție nouă (obiecție valabilă pentru toate cazurile similare din proiect).</w:t>
            </w:r>
          </w:p>
          <w:p w14:paraId="5DABDA29" w14:textId="7157272B" w:rsidR="00E33E79" w:rsidRPr="00A13CF7" w:rsidRDefault="00E33E79" w:rsidP="00E33E79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13CF7">
              <w:rPr>
                <w:lang w:val="ro-RO"/>
              </w:rPr>
              <w:t xml:space="preserve">Adițional, Regulamentul privind licențierea băncii și sucursalei băncii din alt stat urmează a fi expus în următoarea redacție: „Regulamentul privind licențierea băncii și sucursalei băncii din alt stat, aprobat prin Hotărârea Comitetului executiv </w:t>
            </w:r>
          </w:p>
          <w:p w14:paraId="3DCD349F" w14:textId="5FE660B7" w:rsidR="00E33E79" w:rsidRPr="00A13CF7" w:rsidRDefault="00E33E79" w:rsidP="00E33E79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13CF7">
              <w:rPr>
                <w:lang w:val="ro-RO"/>
              </w:rPr>
              <w:t>al Băncii Naționale a Moldovei nr.328/2019”.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4688A1D" w14:textId="57D67AA8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t>Se acceptă</w:t>
            </w:r>
          </w:p>
        </w:tc>
      </w:tr>
      <w:tr w:rsidR="00E33E79" w:rsidRPr="00A13CF7" w14:paraId="2F86CFA6" w14:textId="77777777" w:rsidTr="00E40FEA">
        <w:trPr>
          <w:cantSplit/>
        </w:trPr>
        <w:tc>
          <w:tcPr>
            <w:tcW w:w="2835" w:type="dxa"/>
          </w:tcPr>
          <w:p w14:paraId="46A8D7C5" w14:textId="77777777" w:rsidR="00E33E79" w:rsidRPr="00A13CF7" w:rsidRDefault="00E33E79" w:rsidP="00E33E79">
            <w:pPr>
              <w:pStyle w:val="cp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t>Pct.1 subpct.7) lit.c) din proiect:</w:t>
            </w:r>
          </w:p>
          <w:p w14:paraId="371B5E54" w14:textId="1F1615E8" w:rsidR="00E33E79" w:rsidRPr="00A13CF7" w:rsidRDefault="00E33E79" w:rsidP="00E33E79">
            <w:pPr>
              <w:pStyle w:val="cp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lang w:val="ro-RO"/>
              </w:rPr>
            </w:pPr>
            <w:r w:rsidRPr="00A13CF7">
              <w:rPr>
                <w:bCs/>
                <w:lang w:val="ro-RO"/>
              </w:rPr>
              <w:t>„la punctul 14,</w:t>
            </w:r>
            <w:r w:rsidRPr="00A13CF7">
              <w:rPr>
                <w:lang w:val="ro-RO"/>
              </w:rPr>
              <w:t xml:space="preserve"> </w:t>
            </w:r>
            <w:r w:rsidRPr="00A13CF7">
              <w:rPr>
                <w:bCs/>
                <w:lang w:val="ro-RO"/>
              </w:rPr>
              <w:t>după cuvântul „documente” se completează cu cuvintele „și informații”.”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FFE84D3" w14:textId="30FC6B08" w:rsidR="00E33E79" w:rsidRPr="00A13CF7" w:rsidRDefault="00E33E79" w:rsidP="00E33E79">
            <w:pPr>
              <w:jc w:val="both"/>
              <w:rPr>
                <w:bCs/>
                <w:iCs/>
                <w:lang w:val="ro-RO"/>
              </w:rPr>
            </w:pPr>
            <w:r w:rsidRPr="00A13CF7">
              <w:rPr>
                <w:bCs/>
                <w:iCs/>
                <w:lang w:val="ro-RO"/>
              </w:rPr>
              <w:t>BC „Energbank” SA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23A50FE" w14:textId="61811348" w:rsidR="00E33E79" w:rsidRPr="00A13CF7" w:rsidRDefault="00E33E79" w:rsidP="00E33E79">
            <w:pPr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70BEBAF" w14:textId="378697F4" w:rsidR="00E33E79" w:rsidRDefault="00E33E79" w:rsidP="00E33E79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13CF7">
              <w:rPr>
                <w:lang w:val="ro-RO"/>
              </w:rPr>
              <w:t>Această modificare рrеsupune сa notificarea privind deschiderea sucursalei trebuie să со</w:t>
            </w:r>
            <w:r>
              <w:rPr>
                <w:lang w:val="ro-RO"/>
              </w:rPr>
              <w:t>n</w:t>
            </w:r>
            <w:r w:rsidRPr="00A13CF7">
              <w:rPr>
                <w:lang w:val="ro-RO"/>
              </w:rPr>
              <w:t>țină, în аnexă, nu numai „documentele” indicate la pct.14 din regulamentul nr.147/2019, dаr și anumite „informații".</w:t>
            </w:r>
          </w:p>
          <w:p w14:paraId="0DC1526B" w14:textId="77777777" w:rsidR="00E33E79" w:rsidRDefault="00E33E79" w:rsidP="00E33E79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Propunem excluderea cuvintelor „și informații” reieșind din esența documentelor expuse în pct.14.</w:t>
            </w:r>
          </w:p>
          <w:p w14:paraId="2241FEE9" w14:textId="71CF4FD7" w:rsidR="00E33E79" w:rsidRPr="00A13CF7" w:rsidRDefault="00E33E79" w:rsidP="00E33E79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8DCF3EE" w14:textId="530ABEDB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  <w:r w:rsidRPr="00A13CF7">
              <w:rPr>
                <w:b/>
                <w:lang w:val="ro-RO"/>
              </w:rPr>
              <w:lastRenderedPageBreak/>
              <w:t>Se acceptă</w:t>
            </w:r>
          </w:p>
        </w:tc>
      </w:tr>
      <w:tr w:rsidR="00E33E79" w:rsidRPr="00A13CF7" w14:paraId="0C6FEFB7" w14:textId="77777777" w:rsidTr="00E40FEA">
        <w:trPr>
          <w:cantSplit/>
        </w:trPr>
        <w:tc>
          <w:tcPr>
            <w:tcW w:w="2835" w:type="dxa"/>
          </w:tcPr>
          <w:p w14:paraId="02B33064" w14:textId="149A54F2" w:rsidR="00E33E79" w:rsidRPr="00A13CF7" w:rsidRDefault="00E33E79" w:rsidP="00E33E79">
            <w:pPr>
              <w:pStyle w:val="cn"/>
              <w:tabs>
                <w:tab w:val="left" w:pos="426"/>
              </w:tabs>
              <w:spacing w:before="0" w:beforeAutospacing="0" w:after="0" w:afterAutospacing="0" w:line="276" w:lineRule="auto"/>
              <w:rPr>
                <w:lang w:val="ro-RO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F542427" w14:textId="0E97C9E8" w:rsidR="00E33E79" w:rsidRPr="00A13CF7" w:rsidRDefault="00E33E79" w:rsidP="00E33E79">
            <w:pPr>
              <w:jc w:val="both"/>
              <w:rPr>
                <w:lang w:val="ro-RO"/>
              </w:rPr>
            </w:pPr>
            <w:r w:rsidRPr="00A13CF7">
              <w:rPr>
                <w:lang w:val="ro-RO"/>
              </w:rPr>
              <w:t>Consiliul Concurenței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9FBAC02" w14:textId="7F034025" w:rsidR="00E33E79" w:rsidRPr="00A13CF7" w:rsidRDefault="00E33E79" w:rsidP="00E33E79">
            <w:pPr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02B047" w14:textId="61D03303" w:rsidR="00E33E79" w:rsidRPr="00A13CF7" w:rsidRDefault="00E33E79" w:rsidP="00E33E79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A13CF7">
              <w:rPr>
                <w:lang w:val="ro-RO"/>
              </w:rPr>
              <w:t>Nu au obiecții/propuneri/ recomandăr</w:t>
            </w:r>
            <w:r>
              <w:rPr>
                <w:lang w:val="ro-RO"/>
              </w:rPr>
              <w:t>i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D316EAF" w14:textId="754A305F" w:rsidR="00E33E79" w:rsidRPr="00A13CF7" w:rsidRDefault="00E33E79" w:rsidP="00E33E79">
            <w:pPr>
              <w:jc w:val="both"/>
              <w:rPr>
                <w:lang w:val="ro-RO"/>
              </w:rPr>
            </w:pPr>
          </w:p>
        </w:tc>
      </w:tr>
      <w:tr w:rsidR="00E33E79" w:rsidRPr="00A13CF7" w14:paraId="2DA40ADA" w14:textId="77777777" w:rsidTr="00E40FEA">
        <w:trPr>
          <w:cantSplit/>
        </w:trPr>
        <w:tc>
          <w:tcPr>
            <w:tcW w:w="2835" w:type="dxa"/>
          </w:tcPr>
          <w:p w14:paraId="763AEA02" w14:textId="1C14B8BD" w:rsidR="00E33E79" w:rsidRPr="00A13CF7" w:rsidRDefault="00E33E79" w:rsidP="00E33E79">
            <w:pPr>
              <w:pStyle w:val="cn"/>
              <w:tabs>
                <w:tab w:val="left" w:pos="426"/>
              </w:tabs>
              <w:spacing w:before="0" w:beforeAutospacing="0" w:after="0" w:afterAutospacing="0"/>
              <w:jc w:val="both"/>
              <w:rPr>
                <w:lang w:val="ro-RO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D304902" w14:textId="0A52FA85" w:rsidR="00E33E79" w:rsidRPr="00A13CF7" w:rsidRDefault="00E33E79" w:rsidP="00E33E79">
            <w:pPr>
              <w:rPr>
                <w:lang w:val="ro-RO"/>
              </w:rPr>
            </w:pPr>
            <w:r w:rsidRPr="00A13CF7">
              <w:rPr>
                <w:bCs/>
                <w:iCs/>
                <w:lang w:val="ro-RO"/>
              </w:rPr>
              <w:t>BC „EuroCreditBank” SA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06DBC59" w14:textId="11234CC3" w:rsidR="00E33E79" w:rsidRPr="00A13CF7" w:rsidRDefault="00E33E79" w:rsidP="00E33E79">
            <w:pPr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F8E62" w14:textId="3F74F38E" w:rsidR="00E33E79" w:rsidRPr="00A13CF7" w:rsidRDefault="00E33E79" w:rsidP="00E33E79">
            <w:pPr>
              <w:autoSpaceDE w:val="0"/>
              <w:autoSpaceDN w:val="0"/>
              <w:adjustRightInd w:val="0"/>
              <w:rPr>
                <w:lang w:val="ro-RO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765F63B" w14:textId="137C4858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</w:tr>
      <w:tr w:rsidR="00E33E79" w:rsidRPr="00A13CF7" w14:paraId="71D72531" w14:textId="77777777" w:rsidTr="00E40FEA">
        <w:trPr>
          <w:cantSplit/>
        </w:trPr>
        <w:tc>
          <w:tcPr>
            <w:tcW w:w="2835" w:type="dxa"/>
          </w:tcPr>
          <w:p w14:paraId="65B8A3C1" w14:textId="3E34C146" w:rsidR="00E33E79" w:rsidRPr="00A13CF7" w:rsidRDefault="00E33E79" w:rsidP="00E33E79">
            <w:pPr>
              <w:pStyle w:val="cn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lang w:val="ro-RO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76F209D" w14:textId="63F9EC27" w:rsidR="00E33E79" w:rsidRPr="00A13CF7" w:rsidRDefault="00E33E79" w:rsidP="00E33E79">
            <w:pPr>
              <w:rPr>
                <w:lang w:val="ro-RO"/>
              </w:rPr>
            </w:pPr>
            <w:r w:rsidRPr="00A13CF7">
              <w:rPr>
                <w:lang w:val="ro-RO"/>
              </w:rPr>
              <w:t>BC „MAIB” SA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D4330C0" w14:textId="698A8478" w:rsidR="00E33E79" w:rsidRPr="00A13CF7" w:rsidRDefault="00E33E79" w:rsidP="00E33E79">
            <w:pPr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2308F" w14:textId="418C9649" w:rsidR="00E33E79" w:rsidRPr="00A13CF7" w:rsidRDefault="00E33E79" w:rsidP="00E33E79">
            <w:pPr>
              <w:autoSpaceDE w:val="0"/>
              <w:autoSpaceDN w:val="0"/>
              <w:adjustRightInd w:val="0"/>
              <w:rPr>
                <w:lang w:val="ro-RO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FFDACB2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</w:tr>
      <w:tr w:rsidR="00E33E79" w:rsidRPr="00A13CF7" w14:paraId="59464018" w14:textId="77777777" w:rsidTr="00E40FEA">
        <w:trPr>
          <w:cantSplit/>
        </w:trPr>
        <w:tc>
          <w:tcPr>
            <w:tcW w:w="2835" w:type="dxa"/>
          </w:tcPr>
          <w:p w14:paraId="17519453" w14:textId="58B1EAF3" w:rsidR="00E33E79" w:rsidRPr="00A13CF7" w:rsidRDefault="00E33E79" w:rsidP="00E33E79">
            <w:pPr>
              <w:pStyle w:val="cp"/>
              <w:tabs>
                <w:tab w:val="left" w:pos="0"/>
                <w:tab w:val="left" w:pos="322"/>
              </w:tabs>
              <w:spacing w:before="0" w:beforeAutospacing="0" w:after="0" w:afterAutospacing="0"/>
              <w:jc w:val="both"/>
              <w:rPr>
                <w:b/>
                <w:lang w:val="ro-RO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FB3E1EF" w14:textId="51AF99F3" w:rsidR="00E33E79" w:rsidRPr="00A13CF7" w:rsidRDefault="00E33E79" w:rsidP="00E33E79">
            <w:pPr>
              <w:rPr>
                <w:lang w:val="ro-RO"/>
              </w:rPr>
            </w:pPr>
            <w:r w:rsidRPr="00A13CF7">
              <w:rPr>
                <w:lang w:val="ro-RO"/>
              </w:rPr>
              <w:t>„BCR Chiținău” SA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2EF66FE" w14:textId="6DF03BCB" w:rsidR="00E33E79" w:rsidRPr="00A13CF7" w:rsidRDefault="00E33E79" w:rsidP="00E33E79">
            <w:pPr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10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ED798" w14:textId="475EC8EF" w:rsidR="00E33E79" w:rsidRPr="00A13CF7" w:rsidRDefault="00E33E79" w:rsidP="00E33E79">
            <w:pPr>
              <w:autoSpaceDE w:val="0"/>
              <w:autoSpaceDN w:val="0"/>
              <w:adjustRightInd w:val="0"/>
              <w:rPr>
                <w:lang w:val="ro-RO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CB1BA55" w14:textId="06267FCF" w:rsidR="00E33E79" w:rsidRPr="00A13CF7" w:rsidRDefault="00E33E79" w:rsidP="00E33E79">
            <w:pPr>
              <w:pStyle w:val="ListParagraph"/>
              <w:tabs>
                <w:tab w:val="left" w:pos="316"/>
              </w:tabs>
              <w:ind w:left="0"/>
              <w:jc w:val="both"/>
              <w:rPr>
                <w:lang w:val="ro-RO" w:eastAsia="ro-MD"/>
              </w:rPr>
            </w:pPr>
          </w:p>
        </w:tc>
      </w:tr>
      <w:tr w:rsidR="00E33E79" w:rsidRPr="00A13CF7" w14:paraId="38743198" w14:textId="77777777" w:rsidTr="00E40FEA">
        <w:trPr>
          <w:cantSplit/>
        </w:trPr>
        <w:tc>
          <w:tcPr>
            <w:tcW w:w="2835" w:type="dxa"/>
          </w:tcPr>
          <w:p w14:paraId="6874CC5A" w14:textId="77777777" w:rsidR="00E33E79" w:rsidRPr="00A13CF7" w:rsidRDefault="00E33E79" w:rsidP="00E33E79">
            <w:pPr>
              <w:pStyle w:val="cp"/>
              <w:tabs>
                <w:tab w:val="left" w:pos="0"/>
                <w:tab w:val="left" w:pos="322"/>
              </w:tabs>
              <w:spacing w:before="0" w:beforeAutospacing="0" w:after="0" w:afterAutospacing="0"/>
              <w:jc w:val="both"/>
              <w:rPr>
                <w:b/>
                <w:lang w:val="ro-RO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3D0863D" w14:textId="6C9C0608" w:rsidR="00E33E79" w:rsidRPr="00A13CF7" w:rsidRDefault="00E33E79" w:rsidP="00E33E79">
            <w:pPr>
              <w:rPr>
                <w:lang w:val="ro-RO"/>
              </w:rPr>
            </w:pPr>
            <w:r w:rsidRPr="00A13CF7">
              <w:rPr>
                <w:lang w:val="ro-RO"/>
              </w:rPr>
              <w:t>„Banca de Finanțe și Comerț” SA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BAC16E" w14:textId="1D2ED7A7" w:rsidR="00E33E79" w:rsidRPr="00A13CF7" w:rsidRDefault="00E33E79" w:rsidP="00E33E79">
            <w:pPr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B68B0" w14:textId="77777777" w:rsidR="00E33E79" w:rsidRPr="00A13CF7" w:rsidRDefault="00E33E79" w:rsidP="00E33E79">
            <w:pPr>
              <w:autoSpaceDE w:val="0"/>
              <w:autoSpaceDN w:val="0"/>
              <w:adjustRightInd w:val="0"/>
              <w:rPr>
                <w:lang w:val="ro-RO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90BE59A" w14:textId="77777777" w:rsidR="00E33E79" w:rsidRPr="00A13CF7" w:rsidRDefault="00E33E79" w:rsidP="00E33E79">
            <w:pPr>
              <w:pStyle w:val="ListParagraph"/>
              <w:tabs>
                <w:tab w:val="left" w:pos="316"/>
              </w:tabs>
              <w:ind w:left="0"/>
              <w:jc w:val="both"/>
              <w:rPr>
                <w:lang w:val="ro-RO" w:eastAsia="ro-MD"/>
              </w:rPr>
            </w:pPr>
          </w:p>
        </w:tc>
      </w:tr>
      <w:tr w:rsidR="00E33E79" w:rsidRPr="00A13CF7" w14:paraId="0C2BBB55" w14:textId="77777777" w:rsidTr="00E40FEA">
        <w:trPr>
          <w:cantSplit/>
        </w:trPr>
        <w:tc>
          <w:tcPr>
            <w:tcW w:w="2835" w:type="dxa"/>
          </w:tcPr>
          <w:p w14:paraId="0AD8017B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BBD8CCC" w14:textId="75C86081" w:rsidR="00E33E79" w:rsidRPr="00A13CF7" w:rsidRDefault="00E33E79" w:rsidP="00E33E79">
            <w:pPr>
              <w:rPr>
                <w:lang w:val="ro-RO"/>
              </w:rPr>
            </w:pPr>
            <w:r w:rsidRPr="00A13CF7">
              <w:rPr>
                <w:lang w:val="ro-RO"/>
              </w:rPr>
              <w:t>BC „OTP Bank” SA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CF4207" w14:textId="7926DB23" w:rsidR="00E33E79" w:rsidRPr="00A13CF7" w:rsidRDefault="00E33E79" w:rsidP="00E33E79">
            <w:p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12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24F12B" w14:textId="1B9A1F6C" w:rsidR="00E33E79" w:rsidRPr="00A13CF7" w:rsidRDefault="00E33E79" w:rsidP="00E33E79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A13CF7">
              <w:rPr>
                <w:lang w:val="ro-RO"/>
              </w:rPr>
              <w:t>Nu au prezentat aviz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F44C44D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</w:tr>
      <w:tr w:rsidR="00E33E79" w:rsidRPr="00A13CF7" w14:paraId="100571A0" w14:textId="77777777" w:rsidTr="00E40FEA">
        <w:trPr>
          <w:cantSplit/>
        </w:trPr>
        <w:tc>
          <w:tcPr>
            <w:tcW w:w="2835" w:type="dxa"/>
          </w:tcPr>
          <w:p w14:paraId="055F2F38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FA33922" w14:textId="4D94C5BF" w:rsidR="00E33E79" w:rsidRPr="00A13CF7" w:rsidRDefault="00E33E79" w:rsidP="00E33E79">
            <w:pPr>
              <w:rPr>
                <w:lang w:val="ro-RO"/>
              </w:rPr>
            </w:pPr>
            <w:r w:rsidRPr="00A13CF7">
              <w:rPr>
                <w:lang w:val="ro-RO"/>
              </w:rPr>
              <w:t>BC „Victoriabank” SA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3D39343" w14:textId="576F81FC" w:rsidR="00E33E79" w:rsidRPr="00A13CF7" w:rsidRDefault="00E33E79" w:rsidP="00E33E79">
            <w:p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13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536E1" w14:textId="4BFF48D6" w:rsidR="00E33E79" w:rsidRPr="00A13CF7" w:rsidRDefault="00E33E79" w:rsidP="00E33E79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6D6F86E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</w:tr>
      <w:tr w:rsidR="00E33E79" w:rsidRPr="00A13CF7" w14:paraId="52435F4D" w14:textId="77777777" w:rsidTr="00E40FEA">
        <w:trPr>
          <w:cantSplit/>
        </w:trPr>
        <w:tc>
          <w:tcPr>
            <w:tcW w:w="2835" w:type="dxa"/>
          </w:tcPr>
          <w:p w14:paraId="47EE10BC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304DAC9" w14:textId="7E670F48" w:rsidR="00E33E79" w:rsidRPr="00A13CF7" w:rsidRDefault="00E33E79" w:rsidP="00E33E79">
            <w:pPr>
              <w:rPr>
                <w:lang w:val="ro-RO"/>
              </w:rPr>
            </w:pPr>
            <w:r w:rsidRPr="00A13CF7">
              <w:rPr>
                <w:lang w:val="ro-RO"/>
              </w:rPr>
              <w:t>BC „Comerțbank” SA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4A065E" w14:textId="00BE0EE2" w:rsidR="00E33E79" w:rsidRPr="00A13CF7" w:rsidRDefault="00E33E79" w:rsidP="00E33E79">
            <w:p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14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32A92" w14:textId="6675AC97" w:rsidR="00E33E79" w:rsidRPr="00A13CF7" w:rsidRDefault="00E33E79" w:rsidP="00E33E79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BE52EDA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</w:tr>
      <w:tr w:rsidR="00E33E79" w:rsidRPr="00A13CF7" w14:paraId="0225F87E" w14:textId="77777777" w:rsidTr="00E40FEA">
        <w:trPr>
          <w:cantSplit/>
        </w:trPr>
        <w:tc>
          <w:tcPr>
            <w:tcW w:w="2835" w:type="dxa"/>
          </w:tcPr>
          <w:p w14:paraId="25714D6B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6B3DABD" w14:textId="570E5400" w:rsidR="00E33E79" w:rsidRPr="00A13CF7" w:rsidRDefault="00E33E79" w:rsidP="00E33E79">
            <w:pPr>
              <w:rPr>
                <w:lang w:val="ro-RO"/>
              </w:rPr>
            </w:pPr>
            <w:r w:rsidRPr="00A13CF7">
              <w:rPr>
                <w:lang w:val="ro-RO"/>
              </w:rPr>
              <w:t>BC „Eximbank” SA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DB4879" w14:textId="3CE061E7" w:rsidR="00E33E79" w:rsidRPr="00A13CF7" w:rsidRDefault="00E33E79" w:rsidP="00E33E79">
            <w:p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15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80C32" w14:textId="77777777" w:rsidR="00E33E79" w:rsidRPr="00A13CF7" w:rsidRDefault="00E33E79" w:rsidP="00E33E79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F78A384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</w:tr>
      <w:tr w:rsidR="00E33E79" w:rsidRPr="00A13CF7" w14:paraId="5EE40ED5" w14:textId="77777777" w:rsidTr="00E40FEA">
        <w:trPr>
          <w:cantSplit/>
        </w:trPr>
        <w:tc>
          <w:tcPr>
            <w:tcW w:w="2835" w:type="dxa"/>
          </w:tcPr>
          <w:p w14:paraId="612052F2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01AFB29" w14:textId="2A1DEC02" w:rsidR="00E33E79" w:rsidRPr="00A13CF7" w:rsidRDefault="00E33E79" w:rsidP="00E33E79">
            <w:pPr>
              <w:rPr>
                <w:lang w:val="ro-RO"/>
              </w:rPr>
            </w:pPr>
            <w:r w:rsidRPr="00A13CF7">
              <w:rPr>
                <w:lang w:val="ro-RO"/>
              </w:rPr>
              <w:t>BC „Moldindconbank” SA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622274B" w14:textId="69B1B74B" w:rsidR="00E33E79" w:rsidRPr="00A13CF7" w:rsidRDefault="00E33E79" w:rsidP="00E33E79">
            <w:p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16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A2217" w14:textId="77777777" w:rsidR="00E33E79" w:rsidRPr="00A13CF7" w:rsidRDefault="00E33E79" w:rsidP="00E33E79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20AAEE3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</w:tr>
      <w:tr w:rsidR="00E33E79" w:rsidRPr="00A13CF7" w14:paraId="469B141E" w14:textId="77777777" w:rsidTr="00E40FEA">
        <w:trPr>
          <w:cantSplit/>
        </w:trPr>
        <w:tc>
          <w:tcPr>
            <w:tcW w:w="2835" w:type="dxa"/>
          </w:tcPr>
          <w:p w14:paraId="5CB31724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D8BB39E" w14:textId="7BF9C305" w:rsidR="00E33E79" w:rsidRPr="00A13CF7" w:rsidRDefault="00E33E79" w:rsidP="00E33E79">
            <w:pPr>
              <w:rPr>
                <w:lang w:val="ro-RO"/>
              </w:rPr>
            </w:pPr>
            <w:r w:rsidRPr="00A13CF7">
              <w:rPr>
                <w:lang w:val="ro-RO"/>
              </w:rPr>
              <w:t>BC „ProCredit Bank” SA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37691AF" w14:textId="42004F18" w:rsidR="00E33E79" w:rsidRPr="00A13CF7" w:rsidRDefault="00E33E79" w:rsidP="00E33E79">
            <w:p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17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FC5E3" w14:textId="77777777" w:rsidR="00E33E79" w:rsidRPr="00A13CF7" w:rsidRDefault="00E33E79" w:rsidP="00E33E79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6174ABE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</w:tr>
      <w:tr w:rsidR="00E33E79" w:rsidRPr="00A13CF7" w14:paraId="0E452460" w14:textId="77777777" w:rsidTr="00E40FEA">
        <w:trPr>
          <w:cantSplit/>
        </w:trPr>
        <w:tc>
          <w:tcPr>
            <w:tcW w:w="2835" w:type="dxa"/>
          </w:tcPr>
          <w:p w14:paraId="66A43F77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623B18A" w14:textId="65333666" w:rsidR="00E33E79" w:rsidRPr="00A13CF7" w:rsidRDefault="00E33E79" w:rsidP="00E33E79">
            <w:pPr>
              <w:rPr>
                <w:lang w:val="ro-RO"/>
              </w:rPr>
            </w:pPr>
            <w:r w:rsidRPr="00A13CF7">
              <w:rPr>
                <w:lang w:val="ro-RO"/>
              </w:rPr>
              <w:t xml:space="preserve">Asociația Băncilor din Moldova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25ED7E4" w14:textId="5C2BCC8E" w:rsidR="00E33E79" w:rsidRPr="00A13CF7" w:rsidRDefault="00E33E79" w:rsidP="00E33E79">
            <w:p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18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D4115" w14:textId="77777777" w:rsidR="00E33E79" w:rsidRPr="00A13CF7" w:rsidRDefault="00E33E79" w:rsidP="00E33E79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506BB1E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</w:tr>
      <w:tr w:rsidR="00E33E79" w:rsidRPr="00A13CF7" w14:paraId="25F9CE8F" w14:textId="77777777" w:rsidTr="00E40FEA">
        <w:trPr>
          <w:cantSplit/>
        </w:trPr>
        <w:tc>
          <w:tcPr>
            <w:tcW w:w="2835" w:type="dxa"/>
          </w:tcPr>
          <w:p w14:paraId="593143D2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203A887" w14:textId="78BAC7A2" w:rsidR="00E33E79" w:rsidRPr="00A13CF7" w:rsidRDefault="00E33E79" w:rsidP="00E33E79">
            <w:pPr>
              <w:rPr>
                <w:lang w:val="ro-RO"/>
              </w:rPr>
            </w:pPr>
            <w:r w:rsidRPr="00A13CF7">
              <w:rPr>
                <w:lang w:val="ro-RO"/>
              </w:rPr>
              <w:t>Ministerul Dezvoltării Economice și Digitalizării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16529B1" w14:textId="70820398" w:rsidR="00E33E79" w:rsidRPr="00A13CF7" w:rsidRDefault="00E33E79" w:rsidP="00E33E79">
            <w:p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A13CF7">
              <w:rPr>
                <w:lang w:val="ro-RO"/>
              </w:rPr>
              <w:t>19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D65A8" w14:textId="77777777" w:rsidR="00E33E79" w:rsidRPr="00A13CF7" w:rsidRDefault="00E33E79" w:rsidP="00E33E79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431CFB3" w14:textId="77777777" w:rsidR="00E33E79" w:rsidRPr="00A13CF7" w:rsidRDefault="00E33E79" w:rsidP="00E33E79">
            <w:pPr>
              <w:jc w:val="both"/>
              <w:rPr>
                <w:b/>
                <w:lang w:val="ro-RO"/>
              </w:rPr>
            </w:pPr>
          </w:p>
        </w:tc>
      </w:tr>
    </w:tbl>
    <w:p w14:paraId="36AAE230" w14:textId="77777777" w:rsidR="0024120B" w:rsidRPr="00A13CF7" w:rsidRDefault="0024120B" w:rsidP="00E2301E">
      <w:pPr>
        <w:jc w:val="both"/>
        <w:rPr>
          <w:lang w:val="ro-RO"/>
        </w:rPr>
      </w:pPr>
    </w:p>
    <w:sectPr w:rsidR="0024120B" w:rsidRPr="00A13CF7" w:rsidSect="008F30F7">
      <w:headerReference w:type="even" r:id="rId12"/>
      <w:footerReference w:type="even" r:id="rId13"/>
      <w:footerReference w:type="default" r:id="rId14"/>
      <w:pgSz w:w="15840" w:h="12240" w:orient="landscape"/>
      <w:pgMar w:top="851" w:right="1134" w:bottom="993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875E0" w14:textId="77777777" w:rsidR="00503671" w:rsidRDefault="00503671" w:rsidP="003F18EE">
      <w:r>
        <w:separator/>
      </w:r>
    </w:p>
  </w:endnote>
  <w:endnote w:type="continuationSeparator" w:id="0">
    <w:p w14:paraId="744D60F9" w14:textId="77777777" w:rsidR="00503671" w:rsidRDefault="00503671" w:rsidP="003F18EE">
      <w:r>
        <w:continuationSeparator/>
      </w:r>
    </w:p>
  </w:endnote>
  <w:endnote w:type="continuationNotice" w:id="1">
    <w:p w14:paraId="024733AB" w14:textId="77777777" w:rsidR="00503671" w:rsidRDefault="00503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for KPMG Light">
    <w:altName w:val="Corbel"/>
    <w:charset w:val="00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291E" w14:textId="31A84B8F" w:rsidR="00B9342E" w:rsidRDefault="00503671" w:rsidP="00970B5D">
    <w:pPr>
      <w:pStyle w:val="Footer"/>
      <w:jc w:val="right"/>
    </w:pPr>
    <w:sdt>
      <w:sdtPr>
        <w:id w:val="-4812379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342E">
          <w:fldChar w:fldCharType="begin"/>
        </w:r>
        <w:r w:rsidR="00B9342E">
          <w:instrText xml:space="preserve"> PAGE   \* MERGEFORMAT </w:instrText>
        </w:r>
        <w:r w:rsidR="00B9342E">
          <w:fldChar w:fldCharType="separate"/>
        </w:r>
        <w:r w:rsidR="006D3606">
          <w:rPr>
            <w:noProof/>
          </w:rPr>
          <w:t>4</w:t>
        </w:r>
        <w:r w:rsidR="00B9342E">
          <w:rPr>
            <w:noProof/>
          </w:rPr>
          <w:fldChar w:fldCharType="end"/>
        </w:r>
      </w:sdtContent>
    </w:sdt>
  </w:p>
  <w:p w14:paraId="04CD34C0" w14:textId="77777777" w:rsidR="00B9342E" w:rsidRPr="00B76F92" w:rsidRDefault="00B9342E" w:rsidP="00B76F92">
    <w:pPr>
      <w:pStyle w:val="Footer"/>
      <w:jc w:val="center"/>
      <w:rPr>
        <w:b/>
        <w:sz w:val="16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FEC64" w14:textId="3DD32EC1" w:rsidR="00B9342E" w:rsidRDefault="00503671" w:rsidP="00471736">
    <w:pPr>
      <w:pStyle w:val="Footer"/>
      <w:jc w:val="right"/>
    </w:pPr>
    <w:sdt>
      <w:sdtPr>
        <w:id w:val="-14627259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342E">
          <w:fldChar w:fldCharType="begin"/>
        </w:r>
        <w:r w:rsidR="00B9342E">
          <w:instrText xml:space="preserve"> PAGE   \* MERGEFORMAT </w:instrText>
        </w:r>
        <w:r w:rsidR="00B9342E">
          <w:fldChar w:fldCharType="separate"/>
        </w:r>
        <w:r w:rsidR="006D3606">
          <w:rPr>
            <w:noProof/>
          </w:rPr>
          <w:t>1</w:t>
        </w:r>
        <w:r w:rsidR="00B9342E">
          <w:rPr>
            <w:noProof/>
          </w:rPr>
          <w:fldChar w:fldCharType="end"/>
        </w:r>
      </w:sdtContent>
    </w:sdt>
  </w:p>
  <w:p w14:paraId="796C7FF5" w14:textId="77777777" w:rsidR="00B9342E" w:rsidRPr="00B76F92" w:rsidRDefault="00B9342E" w:rsidP="00B76F92">
    <w:pPr>
      <w:pStyle w:val="Footer"/>
      <w:jc w:val="center"/>
      <w:rPr>
        <w:b/>
        <w:sz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A1084" w14:textId="77777777" w:rsidR="00503671" w:rsidRDefault="00503671" w:rsidP="003F18EE">
      <w:r>
        <w:separator/>
      </w:r>
    </w:p>
  </w:footnote>
  <w:footnote w:type="continuationSeparator" w:id="0">
    <w:p w14:paraId="64911598" w14:textId="77777777" w:rsidR="00503671" w:rsidRDefault="00503671" w:rsidP="003F18EE">
      <w:r>
        <w:continuationSeparator/>
      </w:r>
    </w:p>
  </w:footnote>
  <w:footnote w:type="continuationNotice" w:id="1">
    <w:p w14:paraId="024D7D37" w14:textId="77777777" w:rsidR="00503671" w:rsidRDefault="00503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CF65D" w14:textId="5CEBBBE7" w:rsidR="00970B5D" w:rsidRDefault="00970B5D" w:rsidP="00970B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98B"/>
    <w:multiLevelType w:val="hybridMultilevel"/>
    <w:tmpl w:val="3F0E720E"/>
    <w:lvl w:ilvl="0" w:tplc="1688CF24">
      <w:start w:val="1"/>
      <w:numFmt w:val="lowerLetter"/>
      <w:lvlText w:val="%1)"/>
      <w:lvlJc w:val="left"/>
      <w:pPr>
        <w:ind w:left="77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08462411"/>
    <w:multiLevelType w:val="hybridMultilevel"/>
    <w:tmpl w:val="B23C4B0A"/>
    <w:lvl w:ilvl="0" w:tplc="1812E6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575"/>
    <w:multiLevelType w:val="hybridMultilevel"/>
    <w:tmpl w:val="2C8A3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0C17"/>
    <w:multiLevelType w:val="hybridMultilevel"/>
    <w:tmpl w:val="94CE114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3450D"/>
    <w:multiLevelType w:val="hybridMultilevel"/>
    <w:tmpl w:val="2E2E1FCE"/>
    <w:lvl w:ilvl="0" w:tplc="A55AED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6110"/>
    <w:multiLevelType w:val="hybridMultilevel"/>
    <w:tmpl w:val="E9BA1220"/>
    <w:lvl w:ilvl="0" w:tplc="040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7F5C"/>
    <w:multiLevelType w:val="hybridMultilevel"/>
    <w:tmpl w:val="8EC0C9DA"/>
    <w:lvl w:ilvl="0" w:tplc="BD10C89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88A0F9AE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2" w:tplc="7F488A02">
      <w:start w:val="1"/>
      <w:numFmt w:val="lowerLetter"/>
      <w:lvlText w:val="%3)"/>
      <w:lvlJc w:val="left"/>
      <w:pPr>
        <w:tabs>
          <w:tab w:val="num" w:pos="5748"/>
        </w:tabs>
        <w:ind w:left="5748" w:hanging="360"/>
      </w:pPr>
      <w:rPr>
        <w:rFonts w:ascii="Times New Roman" w:eastAsia="Times New Roman" w:hAnsi="Times New Roman" w:cs="Times New Roman"/>
      </w:rPr>
    </w:lvl>
    <w:lvl w:ilvl="3" w:tplc="E83A7B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6BBEC44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4F0298EC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7D854C8">
      <w:start w:val="13"/>
      <w:numFmt w:val="decimal"/>
      <w:lvlText w:val="%7"/>
      <w:lvlJc w:val="left"/>
      <w:pPr>
        <w:ind w:left="5040" w:hanging="360"/>
      </w:pPr>
      <w:rPr>
        <w:rFonts w:eastAsia="Calibri"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35FC1"/>
    <w:multiLevelType w:val="hybridMultilevel"/>
    <w:tmpl w:val="BDEA4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039DD"/>
    <w:multiLevelType w:val="hybridMultilevel"/>
    <w:tmpl w:val="0EA4FC96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37C8C"/>
    <w:multiLevelType w:val="hybridMultilevel"/>
    <w:tmpl w:val="E914355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538BF"/>
    <w:multiLevelType w:val="hybridMultilevel"/>
    <w:tmpl w:val="015ECE86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171D85"/>
    <w:multiLevelType w:val="hybridMultilevel"/>
    <w:tmpl w:val="AD0E9516"/>
    <w:lvl w:ilvl="0" w:tplc="171628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2065"/>
    <w:multiLevelType w:val="hybridMultilevel"/>
    <w:tmpl w:val="E148028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D4949"/>
    <w:multiLevelType w:val="hybridMultilevel"/>
    <w:tmpl w:val="9EB63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B09CA"/>
    <w:multiLevelType w:val="hybridMultilevel"/>
    <w:tmpl w:val="AED229C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46DE3"/>
    <w:multiLevelType w:val="hybridMultilevel"/>
    <w:tmpl w:val="9CBA15E6"/>
    <w:lvl w:ilvl="0" w:tplc="184A4CB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88A0F9AE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2" w:tplc="E9C25AC4">
      <w:start w:val="1"/>
      <w:numFmt w:val="lowerLetter"/>
      <w:lvlText w:val="%3)"/>
      <w:lvlJc w:val="left"/>
      <w:pPr>
        <w:tabs>
          <w:tab w:val="num" w:pos="5748"/>
        </w:tabs>
        <w:ind w:left="5748" w:hanging="360"/>
      </w:pPr>
      <w:rPr>
        <w:rFonts w:ascii="Times New Roman" w:eastAsia="Times New Roman" w:hAnsi="Times New Roman" w:cs="Times New Roman"/>
      </w:rPr>
    </w:lvl>
    <w:lvl w:ilvl="3" w:tplc="E83A7B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5D98E88E">
      <w:start w:val="1"/>
      <w:numFmt w:val="lowerLetter"/>
      <w:lvlText w:val="%5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/>
      </w:rPr>
    </w:lvl>
    <w:lvl w:ilvl="5" w:tplc="4F0298EC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7D854C8">
      <w:start w:val="13"/>
      <w:numFmt w:val="decimal"/>
      <w:lvlText w:val="%7"/>
      <w:lvlJc w:val="left"/>
      <w:pPr>
        <w:ind w:left="5040" w:hanging="360"/>
      </w:pPr>
      <w:rPr>
        <w:rFonts w:eastAsia="Calibri"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D20282"/>
    <w:multiLevelType w:val="hybridMultilevel"/>
    <w:tmpl w:val="C86ED22C"/>
    <w:lvl w:ilvl="0" w:tplc="839A239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165CF"/>
    <w:multiLevelType w:val="hybridMultilevel"/>
    <w:tmpl w:val="59D6E33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96F7B"/>
    <w:multiLevelType w:val="hybridMultilevel"/>
    <w:tmpl w:val="EDB0FFD2"/>
    <w:lvl w:ilvl="0" w:tplc="E6A25E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560AE"/>
    <w:multiLevelType w:val="hybridMultilevel"/>
    <w:tmpl w:val="4586A288"/>
    <w:lvl w:ilvl="0" w:tplc="BD10C89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8180011">
      <w:start w:val="1"/>
      <w:numFmt w:val="decimal"/>
      <w:lvlText w:val="%2)"/>
      <w:lvlJc w:val="left"/>
      <w:pPr>
        <w:tabs>
          <w:tab w:val="num" w:pos="4320"/>
        </w:tabs>
        <w:ind w:left="4320" w:hanging="360"/>
      </w:pPr>
      <w:rPr>
        <w:b w:val="0"/>
        <w:bCs/>
      </w:rPr>
    </w:lvl>
    <w:lvl w:ilvl="2" w:tplc="CCAED4A8">
      <w:start w:val="1"/>
      <w:numFmt w:val="lowerLetter"/>
      <w:lvlText w:val="%3)"/>
      <w:lvlJc w:val="left"/>
      <w:pPr>
        <w:tabs>
          <w:tab w:val="num" w:pos="5748"/>
        </w:tabs>
        <w:ind w:left="5748" w:hanging="360"/>
      </w:pPr>
      <w:rPr>
        <w:rFonts w:ascii="Times New Roman" w:eastAsia="Times New Roman" w:hAnsi="Times New Roman" w:cs="Times New Roman"/>
      </w:rPr>
    </w:lvl>
    <w:lvl w:ilvl="3" w:tplc="E83A7B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6BBEC446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4F0298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6" w:tplc="07D854C8">
      <w:start w:val="13"/>
      <w:numFmt w:val="decimal"/>
      <w:lvlText w:val="%7"/>
      <w:lvlJc w:val="left"/>
      <w:pPr>
        <w:ind w:left="5040" w:hanging="360"/>
      </w:pPr>
      <w:rPr>
        <w:rFonts w:eastAsia="Calibri" w:hint="default"/>
      </w:rPr>
    </w:lvl>
    <w:lvl w:ilvl="7" w:tplc="A70E4144">
      <w:start w:val="1"/>
      <w:numFmt w:val="upperLetter"/>
      <w:lvlText w:val="%8)"/>
      <w:lvlJc w:val="left"/>
      <w:pPr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16688"/>
    <w:multiLevelType w:val="hybridMultilevel"/>
    <w:tmpl w:val="E1B67EB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260E0"/>
    <w:multiLevelType w:val="hybridMultilevel"/>
    <w:tmpl w:val="95C42F20"/>
    <w:lvl w:ilvl="0" w:tplc="04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9"/>
  </w:num>
  <w:num w:numId="5">
    <w:abstractNumId w:val="12"/>
  </w:num>
  <w:num w:numId="6">
    <w:abstractNumId w:val="17"/>
  </w:num>
  <w:num w:numId="7">
    <w:abstractNumId w:val="3"/>
  </w:num>
  <w:num w:numId="8">
    <w:abstractNumId w:val="20"/>
  </w:num>
  <w:num w:numId="9">
    <w:abstractNumId w:val="6"/>
  </w:num>
  <w:num w:numId="10">
    <w:abstractNumId w:val="0"/>
  </w:num>
  <w:num w:numId="11">
    <w:abstractNumId w:val="15"/>
  </w:num>
  <w:num w:numId="12">
    <w:abstractNumId w:val="13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  <w:num w:numId="17">
    <w:abstractNumId w:val="16"/>
  </w:num>
  <w:num w:numId="18">
    <w:abstractNumId w:val="14"/>
  </w:num>
  <w:num w:numId="19">
    <w:abstractNumId w:val="4"/>
  </w:num>
  <w:num w:numId="20">
    <w:abstractNumId w:val="18"/>
  </w:num>
  <w:num w:numId="21">
    <w:abstractNumId w:val="8"/>
  </w:num>
  <w:num w:numId="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01"/>
    <w:rsid w:val="00001C12"/>
    <w:rsid w:val="00001F4C"/>
    <w:rsid w:val="0000315B"/>
    <w:rsid w:val="000049C7"/>
    <w:rsid w:val="00004D7E"/>
    <w:rsid w:val="000058DE"/>
    <w:rsid w:val="0000699E"/>
    <w:rsid w:val="00007C3E"/>
    <w:rsid w:val="00010C19"/>
    <w:rsid w:val="000112F8"/>
    <w:rsid w:val="00012066"/>
    <w:rsid w:val="0001258E"/>
    <w:rsid w:val="000126A7"/>
    <w:rsid w:val="00012D87"/>
    <w:rsid w:val="000132E0"/>
    <w:rsid w:val="000140FC"/>
    <w:rsid w:val="0001613B"/>
    <w:rsid w:val="00017781"/>
    <w:rsid w:val="00024B2E"/>
    <w:rsid w:val="00024F4F"/>
    <w:rsid w:val="00025D3E"/>
    <w:rsid w:val="000278D6"/>
    <w:rsid w:val="0004249E"/>
    <w:rsid w:val="00042822"/>
    <w:rsid w:val="00042E64"/>
    <w:rsid w:val="000431F6"/>
    <w:rsid w:val="00043B40"/>
    <w:rsid w:val="000442FC"/>
    <w:rsid w:val="000452BD"/>
    <w:rsid w:val="0004746D"/>
    <w:rsid w:val="0005015A"/>
    <w:rsid w:val="00051133"/>
    <w:rsid w:val="00053CC7"/>
    <w:rsid w:val="00055409"/>
    <w:rsid w:val="00056335"/>
    <w:rsid w:val="000566C9"/>
    <w:rsid w:val="0005730F"/>
    <w:rsid w:val="0006118A"/>
    <w:rsid w:val="000617BD"/>
    <w:rsid w:val="0006475C"/>
    <w:rsid w:val="00065D53"/>
    <w:rsid w:val="00065D90"/>
    <w:rsid w:val="000661AB"/>
    <w:rsid w:val="0006666D"/>
    <w:rsid w:val="00067A94"/>
    <w:rsid w:val="000733EE"/>
    <w:rsid w:val="00074482"/>
    <w:rsid w:val="000840DA"/>
    <w:rsid w:val="00084FEB"/>
    <w:rsid w:val="000861BC"/>
    <w:rsid w:val="00087497"/>
    <w:rsid w:val="000910BD"/>
    <w:rsid w:val="00092756"/>
    <w:rsid w:val="00092F66"/>
    <w:rsid w:val="00093797"/>
    <w:rsid w:val="00093A67"/>
    <w:rsid w:val="00095228"/>
    <w:rsid w:val="000A21F6"/>
    <w:rsid w:val="000A798C"/>
    <w:rsid w:val="000B1743"/>
    <w:rsid w:val="000B1F2F"/>
    <w:rsid w:val="000B455D"/>
    <w:rsid w:val="000B52FA"/>
    <w:rsid w:val="000B5301"/>
    <w:rsid w:val="000B659A"/>
    <w:rsid w:val="000B7CAF"/>
    <w:rsid w:val="000B7D6A"/>
    <w:rsid w:val="000C0135"/>
    <w:rsid w:val="000C0428"/>
    <w:rsid w:val="000C2BCF"/>
    <w:rsid w:val="000C54F5"/>
    <w:rsid w:val="000C67AF"/>
    <w:rsid w:val="000D0A7B"/>
    <w:rsid w:val="000D3A29"/>
    <w:rsid w:val="000D415E"/>
    <w:rsid w:val="000D5E6E"/>
    <w:rsid w:val="000D77F1"/>
    <w:rsid w:val="000E0E56"/>
    <w:rsid w:val="000E3798"/>
    <w:rsid w:val="000E5E25"/>
    <w:rsid w:val="000E6694"/>
    <w:rsid w:val="000E67AA"/>
    <w:rsid w:val="000E71BD"/>
    <w:rsid w:val="000E7477"/>
    <w:rsid w:val="000E753E"/>
    <w:rsid w:val="000F1967"/>
    <w:rsid w:val="000F221F"/>
    <w:rsid w:val="000F2662"/>
    <w:rsid w:val="000F302A"/>
    <w:rsid w:val="000F7E18"/>
    <w:rsid w:val="00101EDB"/>
    <w:rsid w:val="00104712"/>
    <w:rsid w:val="0010664A"/>
    <w:rsid w:val="00106A0B"/>
    <w:rsid w:val="001070EB"/>
    <w:rsid w:val="00112A18"/>
    <w:rsid w:val="001131D1"/>
    <w:rsid w:val="00114518"/>
    <w:rsid w:val="00114C75"/>
    <w:rsid w:val="00116B6C"/>
    <w:rsid w:val="001174CC"/>
    <w:rsid w:val="001202A5"/>
    <w:rsid w:val="00120E25"/>
    <w:rsid w:val="00121C94"/>
    <w:rsid w:val="001230BC"/>
    <w:rsid w:val="0012672D"/>
    <w:rsid w:val="001277BF"/>
    <w:rsid w:val="00131425"/>
    <w:rsid w:val="00132927"/>
    <w:rsid w:val="0013300C"/>
    <w:rsid w:val="00137A8E"/>
    <w:rsid w:val="00137AA6"/>
    <w:rsid w:val="0014133B"/>
    <w:rsid w:val="00142974"/>
    <w:rsid w:val="00142A53"/>
    <w:rsid w:val="00152005"/>
    <w:rsid w:val="00156595"/>
    <w:rsid w:val="00156D32"/>
    <w:rsid w:val="00160BB6"/>
    <w:rsid w:val="00160BBA"/>
    <w:rsid w:val="00162ED9"/>
    <w:rsid w:val="00166478"/>
    <w:rsid w:val="00166D1B"/>
    <w:rsid w:val="00170124"/>
    <w:rsid w:val="001731DB"/>
    <w:rsid w:val="00174E20"/>
    <w:rsid w:val="00175EC4"/>
    <w:rsid w:val="00175FD2"/>
    <w:rsid w:val="00176778"/>
    <w:rsid w:val="0018068B"/>
    <w:rsid w:val="00180C85"/>
    <w:rsid w:val="00183B42"/>
    <w:rsid w:val="001858E2"/>
    <w:rsid w:val="00186BE1"/>
    <w:rsid w:val="00190040"/>
    <w:rsid w:val="00190AB5"/>
    <w:rsid w:val="0019518E"/>
    <w:rsid w:val="001A20E4"/>
    <w:rsid w:val="001A3BD8"/>
    <w:rsid w:val="001A54AE"/>
    <w:rsid w:val="001A7AA6"/>
    <w:rsid w:val="001A7B1A"/>
    <w:rsid w:val="001B0E76"/>
    <w:rsid w:val="001B1B59"/>
    <w:rsid w:val="001B2672"/>
    <w:rsid w:val="001B40D5"/>
    <w:rsid w:val="001B58C2"/>
    <w:rsid w:val="001B6061"/>
    <w:rsid w:val="001B7683"/>
    <w:rsid w:val="001B796C"/>
    <w:rsid w:val="001C06C2"/>
    <w:rsid w:val="001C070B"/>
    <w:rsid w:val="001C2A0E"/>
    <w:rsid w:val="001C36DC"/>
    <w:rsid w:val="001C3DB6"/>
    <w:rsid w:val="001C42F2"/>
    <w:rsid w:val="001C5620"/>
    <w:rsid w:val="001C5C88"/>
    <w:rsid w:val="001D0605"/>
    <w:rsid w:val="001D267B"/>
    <w:rsid w:val="001D59EB"/>
    <w:rsid w:val="001D79A9"/>
    <w:rsid w:val="001E1BEC"/>
    <w:rsid w:val="001E2D14"/>
    <w:rsid w:val="001E30F5"/>
    <w:rsid w:val="001E4656"/>
    <w:rsid w:val="001E7446"/>
    <w:rsid w:val="001E752B"/>
    <w:rsid w:val="001E7B95"/>
    <w:rsid w:val="001F0D9E"/>
    <w:rsid w:val="001F3491"/>
    <w:rsid w:val="001F3C25"/>
    <w:rsid w:val="001F3D20"/>
    <w:rsid w:val="001F4736"/>
    <w:rsid w:val="001F4A88"/>
    <w:rsid w:val="001F52FA"/>
    <w:rsid w:val="001F64B0"/>
    <w:rsid w:val="001F7815"/>
    <w:rsid w:val="0020177C"/>
    <w:rsid w:val="00203655"/>
    <w:rsid w:val="00206ACB"/>
    <w:rsid w:val="0021191D"/>
    <w:rsid w:val="00213559"/>
    <w:rsid w:val="00213B79"/>
    <w:rsid w:val="002175CE"/>
    <w:rsid w:val="002175F5"/>
    <w:rsid w:val="00220FC7"/>
    <w:rsid w:val="002228F6"/>
    <w:rsid w:val="00235C81"/>
    <w:rsid w:val="00235DCD"/>
    <w:rsid w:val="00236926"/>
    <w:rsid w:val="0024062A"/>
    <w:rsid w:val="0024120B"/>
    <w:rsid w:val="00242924"/>
    <w:rsid w:val="00244E76"/>
    <w:rsid w:val="00245628"/>
    <w:rsid w:val="002472C3"/>
    <w:rsid w:val="0025101C"/>
    <w:rsid w:val="00251A4D"/>
    <w:rsid w:val="0025236A"/>
    <w:rsid w:val="00252B04"/>
    <w:rsid w:val="002534E2"/>
    <w:rsid w:val="00253B6C"/>
    <w:rsid w:val="002547B3"/>
    <w:rsid w:val="00261480"/>
    <w:rsid w:val="0026206F"/>
    <w:rsid w:val="002628AD"/>
    <w:rsid w:val="00262E16"/>
    <w:rsid w:val="00263324"/>
    <w:rsid w:val="002646C6"/>
    <w:rsid w:val="002646FF"/>
    <w:rsid w:val="00266CD5"/>
    <w:rsid w:val="00266E2C"/>
    <w:rsid w:val="0026734D"/>
    <w:rsid w:val="00267FB4"/>
    <w:rsid w:val="00270DB7"/>
    <w:rsid w:val="0027370C"/>
    <w:rsid w:val="002738CB"/>
    <w:rsid w:val="002738DA"/>
    <w:rsid w:val="00273C62"/>
    <w:rsid w:val="00274116"/>
    <w:rsid w:val="0027420D"/>
    <w:rsid w:val="0027613C"/>
    <w:rsid w:val="00277457"/>
    <w:rsid w:val="00277DF9"/>
    <w:rsid w:val="00286382"/>
    <w:rsid w:val="00286514"/>
    <w:rsid w:val="00292354"/>
    <w:rsid w:val="00293EBD"/>
    <w:rsid w:val="00296FBD"/>
    <w:rsid w:val="002A02C7"/>
    <w:rsid w:val="002A08D3"/>
    <w:rsid w:val="002A255C"/>
    <w:rsid w:val="002A25FA"/>
    <w:rsid w:val="002A37F5"/>
    <w:rsid w:val="002A4B6B"/>
    <w:rsid w:val="002A6F8A"/>
    <w:rsid w:val="002A7BF9"/>
    <w:rsid w:val="002B07FD"/>
    <w:rsid w:val="002B1564"/>
    <w:rsid w:val="002B37A9"/>
    <w:rsid w:val="002B3F0A"/>
    <w:rsid w:val="002B4AFC"/>
    <w:rsid w:val="002B4B17"/>
    <w:rsid w:val="002B5CE8"/>
    <w:rsid w:val="002B6C33"/>
    <w:rsid w:val="002C020D"/>
    <w:rsid w:val="002C0647"/>
    <w:rsid w:val="002C58DD"/>
    <w:rsid w:val="002C6B04"/>
    <w:rsid w:val="002C7BBA"/>
    <w:rsid w:val="002D1268"/>
    <w:rsid w:val="002D1485"/>
    <w:rsid w:val="002D2225"/>
    <w:rsid w:val="002D26FD"/>
    <w:rsid w:val="002D29DC"/>
    <w:rsid w:val="002D2B19"/>
    <w:rsid w:val="002D35D0"/>
    <w:rsid w:val="002D5637"/>
    <w:rsid w:val="002D68EF"/>
    <w:rsid w:val="002E0856"/>
    <w:rsid w:val="002E32F3"/>
    <w:rsid w:val="002E44DF"/>
    <w:rsid w:val="002E48EE"/>
    <w:rsid w:val="002E4DAF"/>
    <w:rsid w:val="002E5EC3"/>
    <w:rsid w:val="002E7EA0"/>
    <w:rsid w:val="002F1DDB"/>
    <w:rsid w:val="002F2E75"/>
    <w:rsid w:val="002F385C"/>
    <w:rsid w:val="002F3E61"/>
    <w:rsid w:val="002F45F2"/>
    <w:rsid w:val="002F6DD7"/>
    <w:rsid w:val="002F715B"/>
    <w:rsid w:val="00304CD5"/>
    <w:rsid w:val="003129BB"/>
    <w:rsid w:val="0031344D"/>
    <w:rsid w:val="003144B8"/>
    <w:rsid w:val="00314A94"/>
    <w:rsid w:val="00316573"/>
    <w:rsid w:val="00316C02"/>
    <w:rsid w:val="0032001D"/>
    <w:rsid w:val="0032353C"/>
    <w:rsid w:val="0032577C"/>
    <w:rsid w:val="003259F8"/>
    <w:rsid w:val="00326C27"/>
    <w:rsid w:val="003304F4"/>
    <w:rsid w:val="0033209C"/>
    <w:rsid w:val="00334FF2"/>
    <w:rsid w:val="00335305"/>
    <w:rsid w:val="00335A46"/>
    <w:rsid w:val="00336835"/>
    <w:rsid w:val="0033713B"/>
    <w:rsid w:val="00342692"/>
    <w:rsid w:val="003441D4"/>
    <w:rsid w:val="0034595A"/>
    <w:rsid w:val="003465C9"/>
    <w:rsid w:val="003466A0"/>
    <w:rsid w:val="00346B89"/>
    <w:rsid w:val="00346F49"/>
    <w:rsid w:val="00352119"/>
    <w:rsid w:val="00352D96"/>
    <w:rsid w:val="00353386"/>
    <w:rsid w:val="00355BAD"/>
    <w:rsid w:val="00356DC6"/>
    <w:rsid w:val="00357213"/>
    <w:rsid w:val="003573B8"/>
    <w:rsid w:val="00357B0F"/>
    <w:rsid w:val="00357B86"/>
    <w:rsid w:val="00357C7D"/>
    <w:rsid w:val="00360E6B"/>
    <w:rsid w:val="00362A36"/>
    <w:rsid w:val="00362AA7"/>
    <w:rsid w:val="0036746E"/>
    <w:rsid w:val="00370106"/>
    <w:rsid w:val="00370BCA"/>
    <w:rsid w:val="003728B9"/>
    <w:rsid w:val="0037303C"/>
    <w:rsid w:val="0037355C"/>
    <w:rsid w:val="00373DCC"/>
    <w:rsid w:val="00376ECC"/>
    <w:rsid w:val="00380763"/>
    <w:rsid w:val="0038592B"/>
    <w:rsid w:val="003873AD"/>
    <w:rsid w:val="00390F3F"/>
    <w:rsid w:val="00392548"/>
    <w:rsid w:val="00392898"/>
    <w:rsid w:val="00392AD6"/>
    <w:rsid w:val="0039370A"/>
    <w:rsid w:val="00393863"/>
    <w:rsid w:val="00395391"/>
    <w:rsid w:val="00395AA5"/>
    <w:rsid w:val="00396C9A"/>
    <w:rsid w:val="003A004F"/>
    <w:rsid w:val="003A0ACE"/>
    <w:rsid w:val="003A1965"/>
    <w:rsid w:val="003A3A1D"/>
    <w:rsid w:val="003A3B55"/>
    <w:rsid w:val="003A44F5"/>
    <w:rsid w:val="003A5934"/>
    <w:rsid w:val="003A5FC1"/>
    <w:rsid w:val="003A6851"/>
    <w:rsid w:val="003A7030"/>
    <w:rsid w:val="003A7603"/>
    <w:rsid w:val="003B03EE"/>
    <w:rsid w:val="003B0750"/>
    <w:rsid w:val="003B0E60"/>
    <w:rsid w:val="003B2103"/>
    <w:rsid w:val="003B6142"/>
    <w:rsid w:val="003C1A2B"/>
    <w:rsid w:val="003C391C"/>
    <w:rsid w:val="003C3CE7"/>
    <w:rsid w:val="003C3D24"/>
    <w:rsid w:val="003C402C"/>
    <w:rsid w:val="003C443B"/>
    <w:rsid w:val="003C4C82"/>
    <w:rsid w:val="003C5CA4"/>
    <w:rsid w:val="003C5F93"/>
    <w:rsid w:val="003C77A0"/>
    <w:rsid w:val="003D1A5B"/>
    <w:rsid w:val="003D2870"/>
    <w:rsid w:val="003D2F9C"/>
    <w:rsid w:val="003D446F"/>
    <w:rsid w:val="003D4B19"/>
    <w:rsid w:val="003D7F17"/>
    <w:rsid w:val="003E0184"/>
    <w:rsid w:val="003E0348"/>
    <w:rsid w:val="003E0467"/>
    <w:rsid w:val="003E3306"/>
    <w:rsid w:val="003E33E8"/>
    <w:rsid w:val="003E7587"/>
    <w:rsid w:val="003E7D01"/>
    <w:rsid w:val="003F18EE"/>
    <w:rsid w:val="003F4304"/>
    <w:rsid w:val="003F47F7"/>
    <w:rsid w:val="003F533F"/>
    <w:rsid w:val="003F56B8"/>
    <w:rsid w:val="003F6228"/>
    <w:rsid w:val="003F666A"/>
    <w:rsid w:val="003F6820"/>
    <w:rsid w:val="003F6A2E"/>
    <w:rsid w:val="003F7F35"/>
    <w:rsid w:val="004016A1"/>
    <w:rsid w:val="00402BC2"/>
    <w:rsid w:val="004041E8"/>
    <w:rsid w:val="004047B6"/>
    <w:rsid w:val="00407645"/>
    <w:rsid w:val="004109EF"/>
    <w:rsid w:val="004114F4"/>
    <w:rsid w:val="004116BB"/>
    <w:rsid w:val="00411757"/>
    <w:rsid w:val="004123EB"/>
    <w:rsid w:val="00414859"/>
    <w:rsid w:val="0042039C"/>
    <w:rsid w:val="00420AA8"/>
    <w:rsid w:val="00420D5F"/>
    <w:rsid w:val="004217FF"/>
    <w:rsid w:val="004226AE"/>
    <w:rsid w:val="00423925"/>
    <w:rsid w:val="00430BF1"/>
    <w:rsid w:val="00432F02"/>
    <w:rsid w:val="00434F19"/>
    <w:rsid w:val="00440EB0"/>
    <w:rsid w:val="00441446"/>
    <w:rsid w:val="00443479"/>
    <w:rsid w:val="00447A2D"/>
    <w:rsid w:val="00447C38"/>
    <w:rsid w:val="00450569"/>
    <w:rsid w:val="004507C4"/>
    <w:rsid w:val="00452A89"/>
    <w:rsid w:val="00453344"/>
    <w:rsid w:val="004536BF"/>
    <w:rsid w:val="00454CD3"/>
    <w:rsid w:val="00455EA6"/>
    <w:rsid w:val="0046015E"/>
    <w:rsid w:val="004612AB"/>
    <w:rsid w:val="004635A5"/>
    <w:rsid w:val="00465E09"/>
    <w:rsid w:val="004677C5"/>
    <w:rsid w:val="00467902"/>
    <w:rsid w:val="00471736"/>
    <w:rsid w:val="00471B50"/>
    <w:rsid w:val="00471BED"/>
    <w:rsid w:val="00474495"/>
    <w:rsid w:val="00475F6D"/>
    <w:rsid w:val="0047772D"/>
    <w:rsid w:val="00480083"/>
    <w:rsid w:val="00481F12"/>
    <w:rsid w:val="004850D6"/>
    <w:rsid w:val="00485C2D"/>
    <w:rsid w:val="0048608D"/>
    <w:rsid w:val="004872A9"/>
    <w:rsid w:val="004877BE"/>
    <w:rsid w:val="004915A0"/>
    <w:rsid w:val="00491BF5"/>
    <w:rsid w:val="0049221F"/>
    <w:rsid w:val="0049269C"/>
    <w:rsid w:val="004957DB"/>
    <w:rsid w:val="00495CEE"/>
    <w:rsid w:val="004A1628"/>
    <w:rsid w:val="004A27F6"/>
    <w:rsid w:val="004A30BF"/>
    <w:rsid w:val="004A396A"/>
    <w:rsid w:val="004A639F"/>
    <w:rsid w:val="004B35EE"/>
    <w:rsid w:val="004B4BF9"/>
    <w:rsid w:val="004B508A"/>
    <w:rsid w:val="004B5812"/>
    <w:rsid w:val="004B6781"/>
    <w:rsid w:val="004B6F54"/>
    <w:rsid w:val="004C0E02"/>
    <w:rsid w:val="004C191E"/>
    <w:rsid w:val="004C3DCF"/>
    <w:rsid w:val="004C4096"/>
    <w:rsid w:val="004C5716"/>
    <w:rsid w:val="004C62BF"/>
    <w:rsid w:val="004C6E39"/>
    <w:rsid w:val="004C7CDF"/>
    <w:rsid w:val="004C7E39"/>
    <w:rsid w:val="004D08E5"/>
    <w:rsid w:val="004D2AA1"/>
    <w:rsid w:val="004D5006"/>
    <w:rsid w:val="004D6BDA"/>
    <w:rsid w:val="004D6C58"/>
    <w:rsid w:val="004E138F"/>
    <w:rsid w:val="004E1ADE"/>
    <w:rsid w:val="004E20E8"/>
    <w:rsid w:val="004E3006"/>
    <w:rsid w:val="004E3291"/>
    <w:rsid w:val="004E4793"/>
    <w:rsid w:val="004E5809"/>
    <w:rsid w:val="004E5EF7"/>
    <w:rsid w:val="004E6A5E"/>
    <w:rsid w:val="004E6FB6"/>
    <w:rsid w:val="004F3BF1"/>
    <w:rsid w:val="004F3CEE"/>
    <w:rsid w:val="004F63FB"/>
    <w:rsid w:val="00502EA4"/>
    <w:rsid w:val="00503671"/>
    <w:rsid w:val="005042B0"/>
    <w:rsid w:val="00513FCD"/>
    <w:rsid w:val="00514646"/>
    <w:rsid w:val="00514805"/>
    <w:rsid w:val="00516245"/>
    <w:rsid w:val="0052145C"/>
    <w:rsid w:val="00522845"/>
    <w:rsid w:val="005232B7"/>
    <w:rsid w:val="005240A8"/>
    <w:rsid w:val="005316CA"/>
    <w:rsid w:val="005324B4"/>
    <w:rsid w:val="00533333"/>
    <w:rsid w:val="00534618"/>
    <w:rsid w:val="0054051A"/>
    <w:rsid w:val="00540624"/>
    <w:rsid w:val="00541F7B"/>
    <w:rsid w:val="00546057"/>
    <w:rsid w:val="005501EC"/>
    <w:rsid w:val="005509D4"/>
    <w:rsid w:val="00551193"/>
    <w:rsid w:val="005524BE"/>
    <w:rsid w:val="00553A11"/>
    <w:rsid w:val="00554955"/>
    <w:rsid w:val="00555CB0"/>
    <w:rsid w:val="005621DC"/>
    <w:rsid w:val="00564A83"/>
    <w:rsid w:val="005662E6"/>
    <w:rsid w:val="00566B19"/>
    <w:rsid w:val="00566BD9"/>
    <w:rsid w:val="0056716C"/>
    <w:rsid w:val="0057022E"/>
    <w:rsid w:val="00570BC5"/>
    <w:rsid w:val="00575BB3"/>
    <w:rsid w:val="00576683"/>
    <w:rsid w:val="00581217"/>
    <w:rsid w:val="00582E5F"/>
    <w:rsid w:val="0058330F"/>
    <w:rsid w:val="00585633"/>
    <w:rsid w:val="00585E45"/>
    <w:rsid w:val="00586F88"/>
    <w:rsid w:val="00587D03"/>
    <w:rsid w:val="00590BD6"/>
    <w:rsid w:val="00591354"/>
    <w:rsid w:val="005928A7"/>
    <w:rsid w:val="005965BD"/>
    <w:rsid w:val="00596838"/>
    <w:rsid w:val="005A3562"/>
    <w:rsid w:val="005A36AE"/>
    <w:rsid w:val="005A4C04"/>
    <w:rsid w:val="005A6FDD"/>
    <w:rsid w:val="005B1381"/>
    <w:rsid w:val="005B1C16"/>
    <w:rsid w:val="005B2828"/>
    <w:rsid w:val="005B3569"/>
    <w:rsid w:val="005B4BC8"/>
    <w:rsid w:val="005B4C13"/>
    <w:rsid w:val="005B6F59"/>
    <w:rsid w:val="005B7741"/>
    <w:rsid w:val="005C049F"/>
    <w:rsid w:val="005C09DC"/>
    <w:rsid w:val="005C4475"/>
    <w:rsid w:val="005C5B27"/>
    <w:rsid w:val="005D04C2"/>
    <w:rsid w:val="005D0A19"/>
    <w:rsid w:val="005D0FB5"/>
    <w:rsid w:val="005D131E"/>
    <w:rsid w:val="005D2503"/>
    <w:rsid w:val="005D2F5F"/>
    <w:rsid w:val="005D309D"/>
    <w:rsid w:val="005D39E2"/>
    <w:rsid w:val="005D5A28"/>
    <w:rsid w:val="005D70AF"/>
    <w:rsid w:val="005D7333"/>
    <w:rsid w:val="005E16A4"/>
    <w:rsid w:val="005E6057"/>
    <w:rsid w:val="005F0207"/>
    <w:rsid w:val="005F24A5"/>
    <w:rsid w:val="005F3E95"/>
    <w:rsid w:val="005F4728"/>
    <w:rsid w:val="005F4AF6"/>
    <w:rsid w:val="005F5CC4"/>
    <w:rsid w:val="005F6EFD"/>
    <w:rsid w:val="00603E02"/>
    <w:rsid w:val="006045F0"/>
    <w:rsid w:val="00604FFA"/>
    <w:rsid w:val="00605C80"/>
    <w:rsid w:val="00606E25"/>
    <w:rsid w:val="00607406"/>
    <w:rsid w:val="006158C2"/>
    <w:rsid w:val="006202B8"/>
    <w:rsid w:val="00621D8A"/>
    <w:rsid w:val="0062230D"/>
    <w:rsid w:val="006234E7"/>
    <w:rsid w:val="00623F8B"/>
    <w:rsid w:val="00627A0B"/>
    <w:rsid w:val="00631A41"/>
    <w:rsid w:val="00634221"/>
    <w:rsid w:val="0063557D"/>
    <w:rsid w:val="00636D00"/>
    <w:rsid w:val="006406E3"/>
    <w:rsid w:val="00640E80"/>
    <w:rsid w:val="00641801"/>
    <w:rsid w:val="006427B7"/>
    <w:rsid w:val="006430B7"/>
    <w:rsid w:val="006433EE"/>
    <w:rsid w:val="006441BD"/>
    <w:rsid w:val="00644C50"/>
    <w:rsid w:val="00650136"/>
    <w:rsid w:val="0065155A"/>
    <w:rsid w:val="006516B4"/>
    <w:rsid w:val="006522ED"/>
    <w:rsid w:val="00653704"/>
    <w:rsid w:val="00661136"/>
    <w:rsid w:val="00661300"/>
    <w:rsid w:val="0066667A"/>
    <w:rsid w:val="00666D83"/>
    <w:rsid w:val="0066717C"/>
    <w:rsid w:val="00670481"/>
    <w:rsid w:val="006706A7"/>
    <w:rsid w:val="00672DF5"/>
    <w:rsid w:val="0067308D"/>
    <w:rsid w:val="006776B8"/>
    <w:rsid w:val="00680B9E"/>
    <w:rsid w:val="00681A7B"/>
    <w:rsid w:val="0068601F"/>
    <w:rsid w:val="00690466"/>
    <w:rsid w:val="00690A9E"/>
    <w:rsid w:val="0069147B"/>
    <w:rsid w:val="0069192D"/>
    <w:rsid w:val="006920BF"/>
    <w:rsid w:val="00693A2B"/>
    <w:rsid w:val="00694659"/>
    <w:rsid w:val="00694BC6"/>
    <w:rsid w:val="006971D6"/>
    <w:rsid w:val="00697739"/>
    <w:rsid w:val="00697834"/>
    <w:rsid w:val="006A1F7A"/>
    <w:rsid w:val="006A2279"/>
    <w:rsid w:val="006A301B"/>
    <w:rsid w:val="006A50DF"/>
    <w:rsid w:val="006A5869"/>
    <w:rsid w:val="006A65E2"/>
    <w:rsid w:val="006A754D"/>
    <w:rsid w:val="006B0BAE"/>
    <w:rsid w:val="006B2BDF"/>
    <w:rsid w:val="006B2DA1"/>
    <w:rsid w:val="006B2EF0"/>
    <w:rsid w:val="006B34D5"/>
    <w:rsid w:val="006B4EB0"/>
    <w:rsid w:val="006B52C8"/>
    <w:rsid w:val="006C1D41"/>
    <w:rsid w:val="006C2443"/>
    <w:rsid w:val="006C2D86"/>
    <w:rsid w:val="006D00AB"/>
    <w:rsid w:val="006D2844"/>
    <w:rsid w:val="006D3606"/>
    <w:rsid w:val="006D4608"/>
    <w:rsid w:val="006D55A5"/>
    <w:rsid w:val="006D57B3"/>
    <w:rsid w:val="006D72F3"/>
    <w:rsid w:val="006D75A6"/>
    <w:rsid w:val="006E0339"/>
    <w:rsid w:val="006E0DCC"/>
    <w:rsid w:val="006E1358"/>
    <w:rsid w:val="006E1E37"/>
    <w:rsid w:val="006E2673"/>
    <w:rsid w:val="006E3AC8"/>
    <w:rsid w:val="006E598E"/>
    <w:rsid w:val="006E6A4B"/>
    <w:rsid w:val="006E7305"/>
    <w:rsid w:val="006F14A2"/>
    <w:rsid w:val="006F41FF"/>
    <w:rsid w:val="006F4466"/>
    <w:rsid w:val="006F4472"/>
    <w:rsid w:val="006F4B17"/>
    <w:rsid w:val="00703487"/>
    <w:rsid w:val="007068C3"/>
    <w:rsid w:val="00707830"/>
    <w:rsid w:val="00710E1E"/>
    <w:rsid w:val="0071439A"/>
    <w:rsid w:val="00715752"/>
    <w:rsid w:val="00717986"/>
    <w:rsid w:val="007210DB"/>
    <w:rsid w:val="0072198D"/>
    <w:rsid w:val="007220A3"/>
    <w:rsid w:val="00722DF1"/>
    <w:rsid w:val="007238C7"/>
    <w:rsid w:val="00724B5A"/>
    <w:rsid w:val="007253F6"/>
    <w:rsid w:val="00730487"/>
    <w:rsid w:val="007321E6"/>
    <w:rsid w:val="007338A8"/>
    <w:rsid w:val="00733F6A"/>
    <w:rsid w:val="007346F7"/>
    <w:rsid w:val="00735355"/>
    <w:rsid w:val="00735745"/>
    <w:rsid w:val="00736F5A"/>
    <w:rsid w:val="0073718F"/>
    <w:rsid w:val="007416F4"/>
    <w:rsid w:val="00742D93"/>
    <w:rsid w:val="0074317E"/>
    <w:rsid w:val="0074486E"/>
    <w:rsid w:val="007448E9"/>
    <w:rsid w:val="007465BA"/>
    <w:rsid w:val="00747A45"/>
    <w:rsid w:val="00747C6A"/>
    <w:rsid w:val="00750423"/>
    <w:rsid w:val="00751EDD"/>
    <w:rsid w:val="00752B21"/>
    <w:rsid w:val="0075466E"/>
    <w:rsid w:val="00754A21"/>
    <w:rsid w:val="00755FDF"/>
    <w:rsid w:val="0075729F"/>
    <w:rsid w:val="00757864"/>
    <w:rsid w:val="00761309"/>
    <w:rsid w:val="00761CF5"/>
    <w:rsid w:val="007650AE"/>
    <w:rsid w:val="0076600F"/>
    <w:rsid w:val="00772011"/>
    <w:rsid w:val="00772012"/>
    <w:rsid w:val="00773A3A"/>
    <w:rsid w:val="007752AA"/>
    <w:rsid w:val="00777CB9"/>
    <w:rsid w:val="00780781"/>
    <w:rsid w:val="00781369"/>
    <w:rsid w:val="00782968"/>
    <w:rsid w:val="00784933"/>
    <w:rsid w:val="00785626"/>
    <w:rsid w:val="00785F19"/>
    <w:rsid w:val="00786059"/>
    <w:rsid w:val="007868FF"/>
    <w:rsid w:val="00786970"/>
    <w:rsid w:val="00790B80"/>
    <w:rsid w:val="00791985"/>
    <w:rsid w:val="00792424"/>
    <w:rsid w:val="00792654"/>
    <w:rsid w:val="00792E85"/>
    <w:rsid w:val="007957D0"/>
    <w:rsid w:val="00797516"/>
    <w:rsid w:val="00797C22"/>
    <w:rsid w:val="007A1AAC"/>
    <w:rsid w:val="007A25F3"/>
    <w:rsid w:val="007A4A26"/>
    <w:rsid w:val="007A4D38"/>
    <w:rsid w:val="007A5464"/>
    <w:rsid w:val="007A6059"/>
    <w:rsid w:val="007B2842"/>
    <w:rsid w:val="007B3147"/>
    <w:rsid w:val="007B3CFE"/>
    <w:rsid w:val="007B4CAA"/>
    <w:rsid w:val="007B7404"/>
    <w:rsid w:val="007B7755"/>
    <w:rsid w:val="007C0276"/>
    <w:rsid w:val="007C0609"/>
    <w:rsid w:val="007C244F"/>
    <w:rsid w:val="007C3C0A"/>
    <w:rsid w:val="007C65AC"/>
    <w:rsid w:val="007C6ABD"/>
    <w:rsid w:val="007D0136"/>
    <w:rsid w:val="007D1CC7"/>
    <w:rsid w:val="007D2B05"/>
    <w:rsid w:val="007D30F8"/>
    <w:rsid w:val="007E13B2"/>
    <w:rsid w:val="007E1E2A"/>
    <w:rsid w:val="007E2237"/>
    <w:rsid w:val="007E5C4B"/>
    <w:rsid w:val="007E64D5"/>
    <w:rsid w:val="007E776B"/>
    <w:rsid w:val="007F0E53"/>
    <w:rsid w:val="007F192E"/>
    <w:rsid w:val="007F2E97"/>
    <w:rsid w:val="007F5859"/>
    <w:rsid w:val="0080266B"/>
    <w:rsid w:val="008028D8"/>
    <w:rsid w:val="008038A3"/>
    <w:rsid w:val="008038EA"/>
    <w:rsid w:val="00803BA1"/>
    <w:rsid w:val="00805AAD"/>
    <w:rsid w:val="00807943"/>
    <w:rsid w:val="00807BAD"/>
    <w:rsid w:val="00807C47"/>
    <w:rsid w:val="00814A30"/>
    <w:rsid w:val="0081742A"/>
    <w:rsid w:val="00821A2A"/>
    <w:rsid w:val="00822540"/>
    <w:rsid w:val="0082314F"/>
    <w:rsid w:val="00823A80"/>
    <w:rsid w:val="008254CF"/>
    <w:rsid w:val="00830166"/>
    <w:rsid w:val="008316DA"/>
    <w:rsid w:val="008352FF"/>
    <w:rsid w:val="008354AD"/>
    <w:rsid w:val="008401F7"/>
    <w:rsid w:val="00840ACD"/>
    <w:rsid w:val="008441A5"/>
    <w:rsid w:val="00844370"/>
    <w:rsid w:val="0084460C"/>
    <w:rsid w:val="0084489F"/>
    <w:rsid w:val="008529EB"/>
    <w:rsid w:val="00853757"/>
    <w:rsid w:val="00854418"/>
    <w:rsid w:val="008561E7"/>
    <w:rsid w:val="00856B54"/>
    <w:rsid w:val="00857005"/>
    <w:rsid w:val="00860377"/>
    <w:rsid w:val="00862546"/>
    <w:rsid w:val="008633C5"/>
    <w:rsid w:val="00863E2D"/>
    <w:rsid w:val="00870466"/>
    <w:rsid w:val="00870A08"/>
    <w:rsid w:val="00871E2D"/>
    <w:rsid w:val="008721DE"/>
    <w:rsid w:val="00872333"/>
    <w:rsid w:val="0087413B"/>
    <w:rsid w:val="00874E1D"/>
    <w:rsid w:val="00874EAF"/>
    <w:rsid w:val="008757F4"/>
    <w:rsid w:val="00876072"/>
    <w:rsid w:val="00876739"/>
    <w:rsid w:val="00877014"/>
    <w:rsid w:val="00881EB8"/>
    <w:rsid w:val="00882036"/>
    <w:rsid w:val="00886347"/>
    <w:rsid w:val="0088730F"/>
    <w:rsid w:val="00887958"/>
    <w:rsid w:val="00887DB0"/>
    <w:rsid w:val="0089009A"/>
    <w:rsid w:val="0089063F"/>
    <w:rsid w:val="00894657"/>
    <w:rsid w:val="00896365"/>
    <w:rsid w:val="00897B67"/>
    <w:rsid w:val="008A0D31"/>
    <w:rsid w:val="008A0EFA"/>
    <w:rsid w:val="008A2E87"/>
    <w:rsid w:val="008A3298"/>
    <w:rsid w:val="008A3CEF"/>
    <w:rsid w:val="008A3EBA"/>
    <w:rsid w:val="008A5882"/>
    <w:rsid w:val="008B1934"/>
    <w:rsid w:val="008B7BCB"/>
    <w:rsid w:val="008C153D"/>
    <w:rsid w:val="008C5B2C"/>
    <w:rsid w:val="008C606D"/>
    <w:rsid w:val="008C74B2"/>
    <w:rsid w:val="008D092C"/>
    <w:rsid w:val="008D0F3C"/>
    <w:rsid w:val="008D1BB6"/>
    <w:rsid w:val="008D3AFC"/>
    <w:rsid w:val="008D3B08"/>
    <w:rsid w:val="008D6498"/>
    <w:rsid w:val="008D7887"/>
    <w:rsid w:val="008D7B29"/>
    <w:rsid w:val="008E052E"/>
    <w:rsid w:val="008E0B49"/>
    <w:rsid w:val="008E0EAA"/>
    <w:rsid w:val="008E13C8"/>
    <w:rsid w:val="008E34F1"/>
    <w:rsid w:val="008F1621"/>
    <w:rsid w:val="008F229A"/>
    <w:rsid w:val="008F2AF2"/>
    <w:rsid w:val="008F30F7"/>
    <w:rsid w:val="008F607F"/>
    <w:rsid w:val="008F65FF"/>
    <w:rsid w:val="00903228"/>
    <w:rsid w:val="009049BC"/>
    <w:rsid w:val="00905C8E"/>
    <w:rsid w:val="009068EF"/>
    <w:rsid w:val="00906E13"/>
    <w:rsid w:val="00911319"/>
    <w:rsid w:val="0091142C"/>
    <w:rsid w:val="00912A5C"/>
    <w:rsid w:val="00913A3B"/>
    <w:rsid w:val="00914E3E"/>
    <w:rsid w:val="00916555"/>
    <w:rsid w:val="00916CDF"/>
    <w:rsid w:val="00916EE1"/>
    <w:rsid w:val="00920C33"/>
    <w:rsid w:val="00923371"/>
    <w:rsid w:val="0092393B"/>
    <w:rsid w:val="00923DD6"/>
    <w:rsid w:val="0092585E"/>
    <w:rsid w:val="00927AEA"/>
    <w:rsid w:val="009305A1"/>
    <w:rsid w:val="00932F10"/>
    <w:rsid w:val="009338AB"/>
    <w:rsid w:val="00934440"/>
    <w:rsid w:val="00935427"/>
    <w:rsid w:val="00935D44"/>
    <w:rsid w:val="00936CFB"/>
    <w:rsid w:val="00941101"/>
    <w:rsid w:val="0094426B"/>
    <w:rsid w:val="00945F69"/>
    <w:rsid w:val="00950085"/>
    <w:rsid w:val="00952700"/>
    <w:rsid w:val="00953D27"/>
    <w:rsid w:val="00954491"/>
    <w:rsid w:val="00954B01"/>
    <w:rsid w:val="00955AF9"/>
    <w:rsid w:val="009570F4"/>
    <w:rsid w:val="009573FA"/>
    <w:rsid w:val="00960C2A"/>
    <w:rsid w:val="00962A88"/>
    <w:rsid w:val="009666E5"/>
    <w:rsid w:val="00970B5D"/>
    <w:rsid w:val="00974376"/>
    <w:rsid w:val="00974FDC"/>
    <w:rsid w:val="00976941"/>
    <w:rsid w:val="00976D91"/>
    <w:rsid w:val="009827D2"/>
    <w:rsid w:val="00983250"/>
    <w:rsid w:val="00985A65"/>
    <w:rsid w:val="00985D2D"/>
    <w:rsid w:val="00986FA2"/>
    <w:rsid w:val="00987243"/>
    <w:rsid w:val="00987C68"/>
    <w:rsid w:val="00990958"/>
    <w:rsid w:val="00991C6E"/>
    <w:rsid w:val="00991E90"/>
    <w:rsid w:val="00995551"/>
    <w:rsid w:val="0099562C"/>
    <w:rsid w:val="009A0901"/>
    <w:rsid w:val="009A3256"/>
    <w:rsid w:val="009A5363"/>
    <w:rsid w:val="009A5550"/>
    <w:rsid w:val="009A6936"/>
    <w:rsid w:val="009A6E0E"/>
    <w:rsid w:val="009B21FC"/>
    <w:rsid w:val="009B2B2B"/>
    <w:rsid w:val="009B4733"/>
    <w:rsid w:val="009B4949"/>
    <w:rsid w:val="009B770E"/>
    <w:rsid w:val="009B7F60"/>
    <w:rsid w:val="009C342A"/>
    <w:rsid w:val="009C5A4E"/>
    <w:rsid w:val="009C6A75"/>
    <w:rsid w:val="009D01D6"/>
    <w:rsid w:val="009D0585"/>
    <w:rsid w:val="009D2594"/>
    <w:rsid w:val="009D3317"/>
    <w:rsid w:val="009D6D0B"/>
    <w:rsid w:val="009D7073"/>
    <w:rsid w:val="009D752C"/>
    <w:rsid w:val="009D78E5"/>
    <w:rsid w:val="009E0C73"/>
    <w:rsid w:val="009E341B"/>
    <w:rsid w:val="009E358F"/>
    <w:rsid w:val="009E58DB"/>
    <w:rsid w:val="009F1B20"/>
    <w:rsid w:val="009F32D1"/>
    <w:rsid w:val="009F4744"/>
    <w:rsid w:val="009F4830"/>
    <w:rsid w:val="009F5663"/>
    <w:rsid w:val="009F77BE"/>
    <w:rsid w:val="00A00669"/>
    <w:rsid w:val="00A04E69"/>
    <w:rsid w:val="00A0502C"/>
    <w:rsid w:val="00A05BBC"/>
    <w:rsid w:val="00A07348"/>
    <w:rsid w:val="00A1173D"/>
    <w:rsid w:val="00A1228E"/>
    <w:rsid w:val="00A13174"/>
    <w:rsid w:val="00A13435"/>
    <w:rsid w:val="00A13726"/>
    <w:rsid w:val="00A13CF7"/>
    <w:rsid w:val="00A14A7B"/>
    <w:rsid w:val="00A161F9"/>
    <w:rsid w:val="00A16260"/>
    <w:rsid w:val="00A1724E"/>
    <w:rsid w:val="00A17FEF"/>
    <w:rsid w:val="00A2023E"/>
    <w:rsid w:val="00A233FA"/>
    <w:rsid w:val="00A243A7"/>
    <w:rsid w:val="00A26411"/>
    <w:rsid w:val="00A277D2"/>
    <w:rsid w:val="00A27F93"/>
    <w:rsid w:val="00A32612"/>
    <w:rsid w:val="00A3277F"/>
    <w:rsid w:val="00A346DF"/>
    <w:rsid w:val="00A34D3E"/>
    <w:rsid w:val="00A36919"/>
    <w:rsid w:val="00A37B2E"/>
    <w:rsid w:val="00A429DD"/>
    <w:rsid w:val="00A42F38"/>
    <w:rsid w:val="00A51556"/>
    <w:rsid w:val="00A52440"/>
    <w:rsid w:val="00A527FE"/>
    <w:rsid w:val="00A52D4F"/>
    <w:rsid w:val="00A539EE"/>
    <w:rsid w:val="00A54497"/>
    <w:rsid w:val="00A576EC"/>
    <w:rsid w:val="00A60784"/>
    <w:rsid w:val="00A63117"/>
    <w:rsid w:val="00A639F7"/>
    <w:rsid w:val="00A64791"/>
    <w:rsid w:val="00A64856"/>
    <w:rsid w:val="00A65CBE"/>
    <w:rsid w:val="00A66C3A"/>
    <w:rsid w:val="00A66DB9"/>
    <w:rsid w:val="00A6751C"/>
    <w:rsid w:val="00A67608"/>
    <w:rsid w:val="00A713F4"/>
    <w:rsid w:val="00A72A9E"/>
    <w:rsid w:val="00A73AAF"/>
    <w:rsid w:val="00A75E97"/>
    <w:rsid w:val="00A76B98"/>
    <w:rsid w:val="00A76D10"/>
    <w:rsid w:val="00A77165"/>
    <w:rsid w:val="00A7764F"/>
    <w:rsid w:val="00A812D2"/>
    <w:rsid w:val="00A82138"/>
    <w:rsid w:val="00A86BE3"/>
    <w:rsid w:val="00A87575"/>
    <w:rsid w:val="00A87E19"/>
    <w:rsid w:val="00A9009E"/>
    <w:rsid w:val="00A91B33"/>
    <w:rsid w:val="00A92422"/>
    <w:rsid w:val="00A93F22"/>
    <w:rsid w:val="00A95C90"/>
    <w:rsid w:val="00A95F4F"/>
    <w:rsid w:val="00A96453"/>
    <w:rsid w:val="00A9722C"/>
    <w:rsid w:val="00A97620"/>
    <w:rsid w:val="00AA02D5"/>
    <w:rsid w:val="00AA04C4"/>
    <w:rsid w:val="00AA152E"/>
    <w:rsid w:val="00AA186A"/>
    <w:rsid w:val="00AA25FC"/>
    <w:rsid w:val="00AA3DC3"/>
    <w:rsid w:val="00AA4FAA"/>
    <w:rsid w:val="00AA6096"/>
    <w:rsid w:val="00AA6E29"/>
    <w:rsid w:val="00AA7588"/>
    <w:rsid w:val="00AA7D45"/>
    <w:rsid w:val="00AB124D"/>
    <w:rsid w:val="00AB3648"/>
    <w:rsid w:val="00AB367D"/>
    <w:rsid w:val="00AB4D87"/>
    <w:rsid w:val="00AC03B4"/>
    <w:rsid w:val="00AC219B"/>
    <w:rsid w:val="00AC2C5E"/>
    <w:rsid w:val="00AC3011"/>
    <w:rsid w:val="00AC3F8B"/>
    <w:rsid w:val="00AC6A25"/>
    <w:rsid w:val="00AC7442"/>
    <w:rsid w:val="00AC7FA8"/>
    <w:rsid w:val="00AC7FF9"/>
    <w:rsid w:val="00AD03BC"/>
    <w:rsid w:val="00AD28FE"/>
    <w:rsid w:val="00AD46A7"/>
    <w:rsid w:val="00AD54BB"/>
    <w:rsid w:val="00AD5571"/>
    <w:rsid w:val="00AD65D5"/>
    <w:rsid w:val="00AE0E0A"/>
    <w:rsid w:val="00AE1FAC"/>
    <w:rsid w:val="00AE3439"/>
    <w:rsid w:val="00AE4ABB"/>
    <w:rsid w:val="00AE6F0B"/>
    <w:rsid w:val="00AF1F39"/>
    <w:rsid w:val="00AF25A9"/>
    <w:rsid w:val="00AF30DC"/>
    <w:rsid w:val="00AF41B7"/>
    <w:rsid w:val="00AF497B"/>
    <w:rsid w:val="00AF73B2"/>
    <w:rsid w:val="00AF7DC8"/>
    <w:rsid w:val="00B01313"/>
    <w:rsid w:val="00B05749"/>
    <w:rsid w:val="00B05996"/>
    <w:rsid w:val="00B05C8F"/>
    <w:rsid w:val="00B063F4"/>
    <w:rsid w:val="00B07DBA"/>
    <w:rsid w:val="00B1183D"/>
    <w:rsid w:val="00B166EA"/>
    <w:rsid w:val="00B203DD"/>
    <w:rsid w:val="00B204DD"/>
    <w:rsid w:val="00B21313"/>
    <w:rsid w:val="00B214EC"/>
    <w:rsid w:val="00B2181C"/>
    <w:rsid w:val="00B219C5"/>
    <w:rsid w:val="00B21D42"/>
    <w:rsid w:val="00B2258D"/>
    <w:rsid w:val="00B24D5F"/>
    <w:rsid w:val="00B258EA"/>
    <w:rsid w:val="00B263E5"/>
    <w:rsid w:val="00B3267C"/>
    <w:rsid w:val="00B345F0"/>
    <w:rsid w:val="00B34B42"/>
    <w:rsid w:val="00B354EC"/>
    <w:rsid w:val="00B35FCA"/>
    <w:rsid w:val="00B37722"/>
    <w:rsid w:val="00B37AC1"/>
    <w:rsid w:val="00B42478"/>
    <w:rsid w:val="00B427C4"/>
    <w:rsid w:val="00B43C7F"/>
    <w:rsid w:val="00B43EA3"/>
    <w:rsid w:val="00B45195"/>
    <w:rsid w:val="00B463A5"/>
    <w:rsid w:val="00B46942"/>
    <w:rsid w:val="00B5052C"/>
    <w:rsid w:val="00B51630"/>
    <w:rsid w:val="00B5293B"/>
    <w:rsid w:val="00B52F7E"/>
    <w:rsid w:val="00B53176"/>
    <w:rsid w:val="00B61EA6"/>
    <w:rsid w:val="00B62F3A"/>
    <w:rsid w:val="00B6352A"/>
    <w:rsid w:val="00B63598"/>
    <w:rsid w:val="00B665D4"/>
    <w:rsid w:val="00B66D29"/>
    <w:rsid w:val="00B66F23"/>
    <w:rsid w:val="00B67672"/>
    <w:rsid w:val="00B709D3"/>
    <w:rsid w:val="00B737D8"/>
    <w:rsid w:val="00B73E8D"/>
    <w:rsid w:val="00B76F92"/>
    <w:rsid w:val="00B77F43"/>
    <w:rsid w:val="00B82545"/>
    <w:rsid w:val="00B842D1"/>
    <w:rsid w:val="00B8433A"/>
    <w:rsid w:val="00B84469"/>
    <w:rsid w:val="00B8448D"/>
    <w:rsid w:val="00B849FF"/>
    <w:rsid w:val="00B8668A"/>
    <w:rsid w:val="00B86DB2"/>
    <w:rsid w:val="00B90B1A"/>
    <w:rsid w:val="00B924FC"/>
    <w:rsid w:val="00B92855"/>
    <w:rsid w:val="00B9342E"/>
    <w:rsid w:val="00B9417F"/>
    <w:rsid w:val="00B95F0F"/>
    <w:rsid w:val="00B97DEA"/>
    <w:rsid w:val="00BA04B6"/>
    <w:rsid w:val="00BA1460"/>
    <w:rsid w:val="00BA3D41"/>
    <w:rsid w:val="00BA70C5"/>
    <w:rsid w:val="00BA72C0"/>
    <w:rsid w:val="00BB084B"/>
    <w:rsid w:val="00BB0CE2"/>
    <w:rsid w:val="00BB132A"/>
    <w:rsid w:val="00BB1A0B"/>
    <w:rsid w:val="00BB333B"/>
    <w:rsid w:val="00BB5597"/>
    <w:rsid w:val="00BB6300"/>
    <w:rsid w:val="00BB6407"/>
    <w:rsid w:val="00BB76F7"/>
    <w:rsid w:val="00BB7EA5"/>
    <w:rsid w:val="00BC1759"/>
    <w:rsid w:val="00BC3803"/>
    <w:rsid w:val="00BC433C"/>
    <w:rsid w:val="00BC64AA"/>
    <w:rsid w:val="00BC7FE3"/>
    <w:rsid w:val="00BD18B2"/>
    <w:rsid w:val="00BD256D"/>
    <w:rsid w:val="00BD31ED"/>
    <w:rsid w:val="00BD4CF2"/>
    <w:rsid w:val="00BD6795"/>
    <w:rsid w:val="00BD7496"/>
    <w:rsid w:val="00BE1068"/>
    <w:rsid w:val="00BE218D"/>
    <w:rsid w:val="00BE43C3"/>
    <w:rsid w:val="00BF5579"/>
    <w:rsid w:val="00BF57FF"/>
    <w:rsid w:val="00BF7CAC"/>
    <w:rsid w:val="00C0072B"/>
    <w:rsid w:val="00C023D6"/>
    <w:rsid w:val="00C04C62"/>
    <w:rsid w:val="00C0594C"/>
    <w:rsid w:val="00C07638"/>
    <w:rsid w:val="00C110A4"/>
    <w:rsid w:val="00C12E5C"/>
    <w:rsid w:val="00C144CF"/>
    <w:rsid w:val="00C16D90"/>
    <w:rsid w:val="00C17433"/>
    <w:rsid w:val="00C20B94"/>
    <w:rsid w:val="00C22D2E"/>
    <w:rsid w:val="00C23299"/>
    <w:rsid w:val="00C2613D"/>
    <w:rsid w:val="00C314E4"/>
    <w:rsid w:val="00C31E01"/>
    <w:rsid w:val="00C33D5D"/>
    <w:rsid w:val="00C3523F"/>
    <w:rsid w:val="00C35CD3"/>
    <w:rsid w:val="00C36C98"/>
    <w:rsid w:val="00C43A0F"/>
    <w:rsid w:val="00C4550F"/>
    <w:rsid w:val="00C459B0"/>
    <w:rsid w:val="00C477AB"/>
    <w:rsid w:val="00C47E3D"/>
    <w:rsid w:val="00C50D7D"/>
    <w:rsid w:val="00C52058"/>
    <w:rsid w:val="00C52EFD"/>
    <w:rsid w:val="00C52F2B"/>
    <w:rsid w:val="00C56E8E"/>
    <w:rsid w:val="00C57AFB"/>
    <w:rsid w:val="00C61893"/>
    <w:rsid w:val="00C644A3"/>
    <w:rsid w:val="00C649F5"/>
    <w:rsid w:val="00C64D83"/>
    <w:rsid w:val="00C6580B"/>
    <w:rsid w:val="00C659D2"/>
    <w:rsid w:val="00C7005B"/>
    <w:rsid w:val="00C713B0"/>
    <w:rsid w:val="00C75BA4"/>
    <w:rsid w:val="00C75D70"/>
    <w:rsid w:val="00C80728"/>
    <w:rsid w:val="00C80F44"/>
    <w:rsid w:val="00C9646D"/>
    <w:rsid w:val="00C965E1"/>
    <w:rsid w:val="00CA00E3"/>
    <w:rsid w:val="00CA0607"/>
    <w:rsid w:val="00CA344C"/>
    <w:rsid w:val="00CA3A5A"/>
    <w:rsid w:val="00CA54AA"/>
    <w:rsid w:val="00CA58D0"/>
    <w:rsid w:val="00CA5F01"/>
    <w:rsid w:val="00CA6A4C"/>
    <w:rsid w:val="00CB061B"/>
    <w:rsid w:val="00CB10C2"/>
    <w:rsid w:val="00CB486A"/>
    <w:rsid w:val="00CB53D5"/>
    <w:rsid w:val="00CB5A78"/>
    <w:rsid w:val="00CB7DD8"/>
    <w:rsid w:val="00CB7DF3"/>
    <w:rsid w:val="00CC06B4"/>
    <w:rsid w:val="00CC30E0"/>
    <w:rsid w:val="00CC3192"/>
    <w:rsid w:val="00CC49B4"/>
    <w:rsid w:val="00CC55AC"/>
    <w:rsid w:val="00CC6DDB"/>
    <w:rsid w:val="00CC74BA"/>
    <w:rsid w:val="00CC798A"/>
    <w:rsid w:val="00CD03F3"/>
    <w:rsid w:val="00CD35BE"/>
    <w:rsid w:val="00CD36A8"/>
    <w:rsid w:val="00CD59F3"/>
    <w:rsid w:val="00CD7FCF"/>
    <w:rsid w:val="00CE315F"/>
    <w:rsid w:val="00CE466C"/>
    <w:rsid w:val="00CE672B"/>
    <w:rsid w:val="00CE757A"/>
    <w:rsid w:val="00CE7912"/>
    <w:rsid w:val="00CF4E4A"/>
    <w:rsid w:val="00CF5EC5"/>
    <w:rsid w:val="00D004C1"/>
    <w:rsid w:val="00D02771"/>
    <w:rsid w:val="00D03713"/>
    <w:rsid w:val="00D03BC5"/>
    <w:rsid w:val="00D07398"/>
    <w:rsid w:val="00D1010F"/>
    <w:rsid w:val="00D10BC5"/>
    <w:rsid w:val="00D13665"/>
    <w:rsid w:val="00D13D4F"/>
    <w:rsid w:val="00D15005"/>
    <w:rsid w:val="00D16C1E"/>
    <w:rsid w:val="00D16EEE"/>
    <w:rsid w:val="00D20A46"/>
    <w:rsid w:val="00D20D07"/>
    <w:rsid w:val="00D25BD8"/>
    <w:rsid w:val="00D26583"/>
    <w:rsid w:val="00D3064A"/>
    <w:rsid w:val="00D32AE0"/>
    <w:rsid w:val="00D32D77"/>
    <w:rsid w:val="00D370CE"/>
    <w:rsid w:val="00D41668"/>
    <w:rsid w:val="00D42AE9"/>
    <w:rsid w:val="00D43818"/>
    <w:rsid w:val="00D467E9"/>
    <w:rsid w:val="00D46E3B"/>
    <w:rsid w:val="00D47292"/>
    <w:rsid w:val="00D4741F"/>
    <w:rsid w:val="00D478E0"/>
    <w:rsid w:val="00D51D98"/>
    <w:rsid w:val="00D52980"/>
    <w:rsid w:val="00D56907"/>
    <w:rsid w:val="00D6099B"/>
    <w:rsid w:val="00D612B2"/>
    <w:rsid w:val="00D61F4D"/>
    <w:rsid w:val="00D61FE0"/>
    <w:rsid w:val="00D62EB5"/>
    <w:rsid w:val="00D63696"/>
    <w:rsid w:val="00D64FEF"/>
    <w:rsid w:val="00D7178C"/>
    <w:rsid w:val="00D72803"/>
    <w:rsid w:val="00D73F96"/>
    <w:rsid w:val="00D75523"/>
    <w:rsid w:val="00D80080"/>
    <w:rsid w:val="00D80A27"/>
    <w:rsid w:val="00D81613"/>
    <w:rsid w:val="00D845A0"/>
    <w:rsid w:val="00D84A1B"/>
    <w:rsid w:val="00D84CB7"/>
    <w:rsid w:val="00D84FCA"/>
    <w:rsid w:val="00D860D8"/>
    <w:rsid w:val="00D86F35"/>
    <w:rsid w:val="00D93CB2"/>
    <w:rsid w:val="00D94E5F"/>
    <w:rsid w:val="00DA3C44"/>
    <w:rsid w:val="00DA5AAF"/>
    <w:rsid w:val="00DA6733"/>
    <w:rsid w:val="00DA6F5B"/>
    <w:rsid w:val="00DA7B9A"/>
    <w:rsid w:val="00DB13F9"/>
    <w:rsid w:val="00DB1EA8"/>
    <w:rsid w:val="00DB4499"/>
    <w:rsid w:val="00DB4591"/>
    <w:rsid w:val="00DB45AB"/>
    <w:rsid w:val="00DB4B5E"/>
    <w:rsid w:val="00DB5159"/>
    <w:rsid w:val="00DC11E3"/>
    <w:rsid w:val="00DC400A"/>
    <w:rsid w:val="00DC585B"/>
    <w:rsid w:val="00DC5B33"/>
    <w:rsid w:val="00DC6CF9"/>
    <w:rsid w:val="00DD065D"/>
    <w:rsid w:val="00DD0F4E"/>
    <w:rsid w:val="00DD1C98"/>
    <w:rsid w:val="00DD1CE9"/>
    <w:rsid w:val="00DD564F"/>
    <w:rsid w:val="00DD68D3"/>
    <w:rsid w:val="00DE0D60"/>
    <w:rsid w:val="00DE1938"/>
    <w:rsid w:val="00DE3C5A"/>
    <w:rsid w:val="00DE4390"/>
    <w:rsid w:val="00DE66C3"/>
    <w:rsid w:val="00DE6797"/>
    <w:rsid w:val="00DE79FD"/>
    <w:rsid w:val="00DF051E"/>
    <w:rsid w:val="00DF0C34"/>
    <w:rsid w:val="00DF18DA"/>
    <w:rsid w:val="00DF3109"/>
    <w:rsid w:val="00DF385E"/>
    <w:rsid w:val="00DF6AF0"/>
    <w:rsid w:val="00DF6C51"/>
    <w:rsid w:val="00E018F3"/>
    <w:rsid w:val="00E01C50"/>
    <w:rsid w:val="00E0231D"/>
    <w:rsid w:val="00E0338A"/>
    <w:rsid w:val="00E037FD"/>
    <w:rsid w:val="00E04425"/>
    <w:rsid w:val="00E04753"/>
    <w:rsid w:val="00E05AC3"/>
    <w:rsid w:val="00E05C73"/>
    <w:rsid w:val="00E118E2"/>
    <w:rsid w:val="00E11C59"/>
    <w:rsid w:val="00E12C00"/>
    <w:rsid w:val="00E13FC2"/>
    <w:rsid w:val="00E14E38"/>
    <w:rsid w:val="00E15D19"/>
    <w:rsid w:val="00E15F97"/>
    <w:rsid w:val="00E203B5"/>
    <w:rsid w:val="00E21556"/>
    <w:rsid w:val="00E21F5B"/>
    <w:rsid w:val="00E2301E"/>
    <w:rsid w:val="00E23415"/>
    <w:rsid w:val="00E27234"/>
    <w:rsid w:val="00E30546"/>
    <w:rsid w:val="00E318E1"/>
    <w:rsid w:val="00E33E79"/>
    <w:rsid w:val="00E33F72"/>
    <w:rsid w:val="00E35852"/>
    <w:rsid w:val="00E35EE7"/>
    <w:rsid w:val="00E37302"/>
    <w:rsid w:val="00E37E64"/>
    <w:rsid w:val="00E40FEA"/>
    <w:rsid w:val="00E4197E"/>
    <w:rsid w:val="00E424C6"/>
    <w:rsid w:val="00E4270B"/>
    <w:rsid w:val="00E42E42"/>
    <w:rsid w:val="00E436A7"/>
    <w:rsid w:val="00E4399A"/>
    <w:rsid w:val="00E5048F"/>
    <w:rsid w:val="00E50AF5"/>
    <w:rsid w:val="00E50EB7"/>
    <w:rsid w:val="00E52D53"/>
    <w:rsid w:val="00E560FD"/>
    <w:rsid w:val="00E57118"/>
    <w:rsid w:val="00E60643"/>
    <w:rsid w:val="00E622D5"/>
    <w:rsid w:val="00E62A25"/>
    <w:rsid w:val="00E63F80"/>
    <w:rsid w:val="00E646BD"/>
    <w:rsid w:val="00E659CB"/>
    <w:rsid w:val="00E673D7"/>
    <w:rsid w:val="00E7082E"/>
    <w:rsid w:val="00E72157"/>
    <w:rsid w:val="00E7375D"/>
    <w:rsid w:val="00E80151"/>
    <w:rsid w:val="00E803FD"/>
    <w:rsid w:val="00E83146"/>
    <w:rsid w:val="00E83220"/>
    <w:rsid w:val="00E865D5"/>
    <w:rsid w:val="00E87C07"/>
    <w:rsid w:val="00E9154E"/>
    <w:rsid w:val="00E92F4A"/>
    <w:rsid w:val="00E93C33"/>
    <w:rsid w:val="00E94890"/>
    <w:rsid w:val="00E94D55"/>
    <w:rsid w:val="00E97BEA"/>
    <w:rsid w:val="00E97CC9"/>
    <w:rsid w:val="00EA05DC"/>
    <w:rsid w:val="00EA0639"/>
    <w:rsid w:val="00EA0BB5"/>
    <w:rsid w:val="00EA1936"/>
    <w:rsid w:val="00EA3528"/>
    <w:rsid w:val="00EA6F9B"/>
    <w:rsid w:val="00EA72BF"/>
    <w:rsid w:val="00EA7A4D"/>
    <w:rsid w:val="00EB10EC"/>
    <w:rsid w:val="00EB2043"/>
    <w:rsid w:val="00EB272D"/>
    <w:rsid w:val="00EB45B5"/>
    <w:rsid w:val="00EB5EFD"/>
    <w:rsid w:val="00EB676E"/>
    <w:rsid w:val="00EB7498"/>
    <w:rsid w:val="00EC14D1"/>
    <w:rsid w:val="00EC2FCF"/>
    <w:rsid w:val="00EC4C40"/>
    <w:rsid w:val="00EC52E8"/>
    <w:rsid w:val="00EC5D22"/>
    <w:rsid w:val="00ED0DB5"/>
    <w:rsid w:val="00ED3198"/>
    <w:rsid w:val="00ED672A"/>
    <w:rsid w:val="00EE0520"/>
    <w:rsid w:val="00EE09C7"/>
    <w:rsid w:val="00EE185B"/>
    <w:rsid w:val="00EE275D"/>
    <w:rsid w:val="00EE3D4B"/>
    <w:rsid w:val="00EE40B6"/>
    <w:rsid w:val="00EE4F33"/>
    <w:rsid w:val="00EE5401"/>
    <w:rsid w:val="00EE7518"/>
    <w:rsid w:val="00EE7AC6"/>
    <w:rsid w:val="00EF03F9"/>
    <w:rsid w:val="00EF0C91"/>
    <w:rsid w:val="00EF123E"/>
    <w:rsid w:val="00EF22A1"/>
    <w:rsid w:val="00F00527"/>
    <w:rsid w:val="00F020D4"/>
    <w:rsid w:val="00F0358C"/>
    <w:rsid w:val="00F04E66"/>
    <w:rsid w:val="00F05133"/>
    <w:rsid w:val="00F056FF"/>
    <w:rsid w:val="00F057DD"/>
    <w:rsid w:val="00F05A57"/>
    <w:rsid w:val="00F07F75"/>
    <w:rsid w:val="00F106DA"/>
    <w:rsid w:val="00F126E4"/>
    <w:rsid w:val="00F140D4"/>
    <w:rsid w:val="00F14810"/>
    <w:rsid w:val="00F15555"/>
    <w:rsid w:val="00F21167"/>
    <w:rsid w:val="00F2220C"/>
    <w:rsid w:val="00F22375"/>
    <w:rsid w:val="00F22A5A"/>
    <w:rsid w:val="00F269F5"/>
    <w:rsid w:val="00F2738C"/>
    <w:rsid w:val="00F30172"/>
    <w:rsid w:val="00F306E7"/>
    <w:rsid w:val="00F315D3"/>
    <w:rsid w:val="00F31E6D"/>
    <w:rsid w:val="00F340AD"/>
    <w:rsid w:val="00F36812"/>
    <w:rsid w:val="00F36C9D"/>
    <w:rsid w:val="00F4013C"/>
    <w:rsid w:val="00F41F05"/>
    <w:rsid w:val="00F42DC3"/>
    <w:rsid w:val="00F46F0A"/>
    <w:rsid w:val="00F47B0B"/>
    <w:rsid w:val="00F514B2"/>
    <w:rsid w:val="00F51ADD"/>
    <w:rsid w:val="00F529E4"/>
    <w:rsid w:val="00F56F20"/>
    <w:rsid w:val="00F60DA4"/>
    <w:rsid w:val="00F628B4"/>
    <w:rsid w:val="00F637D4"/>
    <w:rsid w:val="00F6608E"/>
    <w:rsid w:val="00F66D2D"/>
    <w:rsid w:val="00F67359"/>
    <w:rsid w:val="00F70F46"/>
    <w:rsid w:val="00F71A69"/>
    <w:rsid w:val="00F7293D"/>
    <w:rsid w:val="00F72EB3"/>
    <w:rsid w:val="00F73C23"/>
    <w:rsid w:val="00F75D58"/>
    <w:rsid w:val="00F75D62"/>
    <w:rsid w:val="00F770FA"/>
    <w:rsid w:val="00F77FE4"/>
    <w:rsid w:val="00F80B06"/>
    <w:rsid w:val="00F811F4"/>
    <w:rsid w:val="00F82BBD"/>
    <w:rsid w:val="00F83647"/>
    <w:rsid w:val="00F83C2E"/>
    <w:rsid w:val="00F86769"/>
    <w:rsid w:val="00F87231"/>
    <w:rsid w:val="00F87A31"/>
    <w:rsid w:val="00F91877"/>
    <w:rsid w:val="00F942BF"/>
    <w:rsid w:val="00F95425"/>
    <w:rsid w:val="00F95DB2"/>
    <w:rsid w:val="00FA0A92"/>
    <w:rsid w:val="00FA1E63"/>
    <w:rsid w:val="00FA3451"/>
    <w:rsid w:val="00FA36D1"/>
    <w:rsid w:val="00FA4244"/>
    <w:rsid w:val="00FA448A"/>
    <w:rsid w:val="00FA615D"/>
    <w:rsid w:val="00FA6EF5"/>
    <w:rsid w:val="00FB0039"/>
    <w:rsid w:val="00FB1086"/>
    <w:rsid w:val="00FB18F3"/>
    <w:rsid w:val="00FB3791"/>
    <w:rsid w:val="00FB4BFC"/>
    <w:rsid w:val="00FB4D3F"/>
    <w:rsid w:val="00FB50F1"/>
    <w:rsid w:val="00FB5378"/>
    <w:rsid w:val="00FB6CF5"/>
    <w:rsid w:val="00FB7C4A"/>
    <w:rsid w:val="00FC0654"/>
    <w:rsid w:val="00FC0C7D"/>
    <w:rsid w:val="00FC151D"/>
    <w:rsid w:val="00FC1B33"/>
    <w:rsid w:val="00FC2FF8"/>
    <w:rsid w:val="00FC3E5C"/>
    <w:rsid w:val="00FC4A83"/>
    <w:rsid w:val="00FC4B6E"/>
    <w:rsid w:val="00FC60FF"/>
    <w:rsid w:val="00FC7AD2"/>
    <w:rsid w:val="00FD17BB"/>
    <w:rsid w:val="00FD1A76"/>
    <w:rsid w:val="00FD2085"/>
    <w:rsid w:val="00FD2568"/>
    <w:rsid w:val="00FD436D"/>
    <w:rsid w:val="00FD6C22"/>
    <w:rsid w:val="00FD7F44"/>
    <w:rsid w:val="00FE0E98"/>
    <w:rsid w:val="00FE22DA"/>
    <w:rsid w:val="00FE251A"/>
    <w:rsid w:val="00FE3E1C"/>
    <w:rsid w:val="00FE46DB"/>
    <w:rsid w:val="00FE4999"/>
    <w:rsid w:val="00FE56A2"/>
    <w:rsid w:val="00FE6236"/>
    <w:rsid w:val="00FE7A03"/>
    <w:rsid w:val="00FF1320"/>
    <w:rsid w:val="00FF1FA5"/>
    <w:rsid w:val="00FF32DC"/>
    <w:rsid w:val="00FF4577"/>
    <w:rsid w:val="00FF49F1"/>
    <w:rsid w:val="00FF61DA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380A"/>
  <w15:chartTrackingRefBased/>
  <w15:docId w15:val="{32F2D88F-D2F2-4F4E-A92C-C9E545D5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5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28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capitol"/>
    <w:basedOn w:val="Normal"/>
    <w:next w:val="Normal"/>
    <w:link w:val="SubtitleChar"/>
    <w:qFormat/>
    <w:rsid w:val="00D20A46"/>
    <w:pPr>
      <w:numPr>
        <w:ilvl w:val="1"/>
      </w:numPr>
      <w:spacing w:before="120" w:after="120"/>
      <w:jc w:val="center"/>
    </w:pPr>
    <w:rPr>
      <w:rFonts w:eastAsiaTheme="minorEastAsia" w:cstheme="minorBidi"/>
      <w:b/>
      <w:color w:val="000000" w:themeColor="text1"/>
      <w:spacing w:val="15"/>
      <w:szCs w:val="22"/>
      <w:lang w:val="ro-MD"/>
    </w:rPr>
  </w:style>
  <w:style w:type="character" w:customStyle="1" w:styleId="SubtitleChar">
    <w:name w:val="Subtitle Char"/>
    <w:aliases w:val="capitol Char"/>
    <w:basedOn w:val="DefaultParagraphFont"/>
    <w:link w:val="Subtitle"/>
    <w:rsid w:val="00D20A46"/>
    <w:rPr>
      <w:rFonts w:eastAsiaTheme="minorEastAsia" w:cstheme="minorBidi"/>
      <w:b/>
      <w:color w:val="000000" w:themeColor="text1"/>
      <w:spacing w:val="15"/>
      <w:sz w:val="24"/>
      <w:szCs w:val="22"/>
      <w:lang w:val="ro-MD"/>
    </w:rPr>
  </w:style>
  <w:style w:type="table" w:styleId="TableGrid">
    <w:name w:val="Table Grid"/>
    <w:basedOn w:val="TableNormal"/>
    <w:rsid w:val="003F1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8E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3F18E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F18E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EE"/>
    <w:rPr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31ED"/>
    <w:rPr>
      <w:b/>
      <w:bCs/>
    </w:rPr>
  </w:style>
  <w:style w:type="paragraph" w:styleId="ListParagraph">
    <w:name w:val="List Paragraph"/>
    <w:basedOn w:val="Normal"/>
    <w:uiPriority w:val="99"/>
    <w:qFormat/>
    <w:rsid w:val="00CE7912"/>
    <w:pPr>
      <w:ind w:left="720"/>
      <w:contextualSpacing/>
    </w:pPr>
  </w:style>
  <w:style w:type="paragraph" w:customStyle="1" w:styleId="Default">
    <w:name w:val="Default"/>
    <w:rsid w:val="00DE79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rsid w:val="006D75A6"/>
    <w:pPr>
      <w:spacing w:before="60" w:after="60"/>
    </w:pPr>
    <w:rPr>
      <w:rFonts w:ascii="Univers for KPMG Light" w:hAnsi="Univers for KPMG Light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D75A6"/>
    <w:rPr>
      <w:rFonts w:ascii="Univers for KPMG Light" w:hAnsi="Univers for KPMG Light"/>
      <w:sz w:val="22"/>
      <w:lang w:val="en-AU"/>
    </w:rPr>
  </w:style>
  <w:style w:type="paragraph" w:styleId="BalloonText">
    <w:name w:val="Balloon Text"/>
    <w:basedOn w:val="Normal"/>
    <w:link w:val="BalloonTextChar"/>
    <w:rsid w:val="00A86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6BE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link w:val="NormalWebChar"/>
    <w:uiPriority w:val="99"/>
    <w:rsid w:val="00D20D07"/>
    <w:pPr>
      <w:ind w:firstLine="567"/>
      <w:jc w:val="both"/>
    </w:pPr>
    <w:rPr>
      <w:lang w:val="ru-RU" w:eastAsia="ru-RU"/>
    </w:rPr>
  </w:style>
  <w:style w:type="character" w:customStyle="1" w:styleId="NormalWebChar">
    <w:name w:val="Normal (Web) Char"/>
    <w:link w:val="NormalWeb"/>
    <w:uiPriority w:val="99"/>
    <w:rsid w:val="00D20D07"/>
    <w:rPr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F628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rsid w:val="00962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62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2A8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62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2A88"/>
    <w:rPr>
      <w:b/>
      <w:bCs/>
      <w:lang w:val="en-GB"/>
    </w:rPr>
  </w:style>
  <w:style w:type="character" w:styleId="Hyperlink">
    <w:name w:val="Hyperlink"/>
    <w:basedOn w:val="DefaultParagraphFont"/>
    <w:rsid w:val="00FE6236"/>
    <w:rPr>
      <w:color w:val="0563C1" w:themeColor="hyperlink"/>
      <w:u w:val="single"/>
    </w:rPr>
  </w:style>
  <w:style w:type="character" w:customStyle="1" w:styleId="object">
    <w:name w:val="object"/>
    <w:basedOn w:val="DefaultParagraphFont"/>
    <w:rsid w:val="00A76D10"/>
  </w:style>
  <w:style w:type="paragraph" w:customStyle="1" w:styleId="cb">
    <w:name w:val="cb"/>
    <w:basedOn w:val="Normal"/>
    <w:rsid w:val="00432F02"/>
    <w:pPr>
      <w:spacing w:before="100" w:beforeAutospacing="1" w:after="100" w:afterAutospacing="1"/>
    </w:pPr>
    <w:rPr>
      <w:lang w:val="en-US"/>
    </w:rPr>
  </w:style>
  <w:style w:type="paragraph" w:customStyle="1" w:styleId="cn">
    <w:name w:val="cn"/>
    <w:basedOn w:val="Normal"/>
    <w:rsid w:val="00432F02"/>
    <w:pPr>
      <w:spacing w:before="100" w:beforeAutospacing="1" w:after="100" w:afterAutospacing="1"/>
    </w:pPr>
    <w:rPr>
      <w:lang w:val="en-US"/>
    </w:rPr>
  </w:style>
  <w:style w:type="character" w:customStyle="1" w:styleId="NormalWebChar1">
    <w:name w:val="Normal (Web) Char1"/>
    <w:uiPriority w:val="99"/>
    <w:rsid w:val="00FB0039"/>
    <w:rPr>
      <w:sz w:val="24"/>
      <w:szCs w:val="24"/>
    </w:rPr>
  </w:style>
  <w:style w:type="paragraph" w:customStyle="1" w:styleId="cp">
    <w:name w:val="cp"/>
    <w:basedOn w:val="Normal"/>
    <w:rsid w:val="007253F6"/>
    <w:pPr>
      <w:spacing w:before="100" w:beforeAutospacing="1" w:after="100" w:afterAutospacing="1"/>
    </w:pPr>
    <w:rPr>
      <w:lang w:val="en-US"/>
    </w:rPr>
  </w:style>
  <w:style w:type="paragraph" w:customStyle="1" w:styleId="Standard">
    <w:name w:val="Standard"/>
    <w:rsid w:val="00C47E3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character" w:customStyle="1" w:styleId="StrongEmphasis">
    <w:name w:val="Strong Emphasis"/>
    <w:rsid w:val="00C47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C8FD9FC602D47942046F00E7457D2" ma:contentTypeVersion="2" ma:contentTypeDescription="Create a new document." ma:contentTypeScope="" ma:versionID="3edab2dab2c3387671edca4397bcec72">
  <xsd:schema xmlns:xsd="http://www.w3.org/2001/XMLSchema" xmlns:xs="http://www.w3.org/2001/XMLSchema" xmlns:p="http://schemas.microsoft.com/office/2006/metadata/properties" xmlns:ns2="ab897e66-8555-453e-a498-d234c2d9a514" targetNamespace="http://schemas.microsoft.com/office/2006/metadata/properties" ma:root="true" ma:fieldsID="89625898adbe3814e28d4b00f82f36bf" ns2:_="">
    <xsd:import namespace="ab897e66-8555-453e-a498-d234c2d9a5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97e66-8555-453e-a498-d234c2d9a5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itus xmlns="http://schemas.titus.com/TitusProperties/">
  <TitusGUID xmlns="">19c7673d-694b-4374-92eb-53d6cc0ede94</TitusGUID>
  <TitusMetadata xmlns="">eyJucyI6Imh0dHA6XC9cL3d3dy5ibm0ubWRcL25zXC9ibm0iLCJwcm9wcyI6W3sibiI6IkNsYXNpZmljYXJlIiwidmFscyI6W3sidmFsdWUiOiJTUC0zIn1dfV19</TitusMetadata>
</titu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5641-17B0-4732-901D-254C63D23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948EAE-94E9-43B6-BA3E-3F9DA9E4E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C073F-D526-4550-BA36-DBB28E0C5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97e66-8555-453e-a498-d234c2d9a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9E600-0FEB-4DE6-826F-6C6FDE1EFD9D}">
  <ds:schemaRefs>
    <ds:schemaRef ds:uri="http://schemas.titus.com/TitusProperties/"/>
    <ds:schemaRef ds:uri=""/>
  </ds:schemaRefs>
</ds:datastoreItem>
</file>

<file path=customXml/itemProps5.xml><?xml version="1.0" encoding="utf-8"?>
<ds:datastoreItem xmlns:ds="http://schemas.openxmlformats.org/officeDocument/2006/customXml" ds:itemID="{E67EE456-6AC4-43F0-B2A1-50327BB0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2023-10-10T05:45:00Z</cp:lastPrinted>
  <dcterms:created xsi:type="dcterms:W3CDTF">2023-10-10T09:50:00Z</dcterms:created>
  <dcterms:modified xsi:type="dcterms:W3CDTF">2023-10-10T09:50:00Z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19c7673d-694b-4374-92eb-53d6cc0ede94</vt:lpwstr>
  </property>
  <property fmtid="{D5CDD505-2E9C-101B-9397-08002B2CF9AE}" pid="3" name="ContentTypeId">
    <vt:lpwstr>0x01010041CC8FD9FC602D47942046F00E7457D2</vt:lpwstr>
  </property>
  <property fmtid="{D5CDD505-2E9C-101B-9397-08002B2CF9AE}" pid="4" name="Clasificare">
    <vt:lpwstr>SP-3</vt:lpwstr>
  </property>
</Properties>
</file>